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keepLines w:val="0"/>
        <w:keepNext w:val="0"/>
        <w:pageBreakBefore w:val="0"/>
        <w:spacing w:line="288" w:lineRule="auto"/>
        <w:widowControl w:val="off"/>
        <w:rPr>
          <w:rFonts w:hint="eastAsia" w:ascii="黑体" w:hAnsi="黑体" w:eastAsia="黑体" w:cs="黑体"/>
          <w:color w:val="auto"/>
          <w:sz w:val="110"/>
          <w:highlight w:val="none"/>
          <w:lang w:val="en-US" w:eastAsia="zh-CN" w:bidi="ar-SA"/>
        </w:rPr>
      </w:pPr>
      <w:r>
        <w:rPr>
          <w:rFonts w:hint="eastAsia" w:ascii="黑体" w:hAnsi="黑体" w:eastAsia="黑体" w:cs="黑体"/>
          <w:color w:val="auto"/>
          <w:sz w:val="110"/>
          <w:highlight w:val="none"/>
          <w:lang w:val="en-US" w:eastAsia="zh-CN" w:bidi="ar-SA"/>
        </w:rPr>
      </w:r>
      <w:r/>
    </w:p>
    <w:p>
      <w:pPr>
        <w:jc w:val="center"/>
        <w:spacing w:line="360" w:lineRule="auto"/>
        <w:widowControl w:val="off"/>
        <w:rPr>
          <w:rFonts w:hint="eastAsia" w:ascii="黑体" w:hAnsi="黑体" w:eastAsia="黑体" w:cs="黑体"/>
          <w:b/>
          <w:color w:val="auto"/>
          <w:sz w:val="32"/>
          <w:highlight w:val="none"/>
          <w:lang w:val="en-US" w:eastAsia="zh-CN" w:bidi="ar-SA"/>
        </w:rPr>
      </w:pPr>
      <w:r>
        <w:rPr>
          <w:rFonts w:hint="eastAsia" w:ascii="黑体" w:hAnsi="黑体" w:eastAsia="黑体" w:cs="黑体"/>
          <w:color w:val="auto"/>
          <w:sz w:val="110"/>
          <w:szCs w:val="21"/>
          <w:highlight w:val="none"/>
          <w:lang w:val="en-US" w:eastAsia="zh-CN" w:bidi="ar-SA"/>
        </w:rPr>
        <w:t xml:space="preserve">竞争性磋商文件</w:t>
      </w:r>
      <w:r/>
    </w:p>
    <w:p>
      <w:pPr>
        <w:jc w:val="left"/>
        <w:spacing w:line="360" w:lineRule="auto"/>
        <w:widowControl w:val="off"/>
        <w:rPr>
          <w:rFonts w:hint="eastAsia" w:ascii="黑体" w:hAnsi="黑体" w:eastAsia="黑体" w:cs="黑体"/>
          <w:b/>
          <w:color w:val="auto"/>
          <w:sz w:val="32"/>
          <w:highlight w:val="none"/>
          <w:lang w:val="en-US" w:eastAsia="zh-CN" w:bidi="ar-SA"/>
        </w:rPr>
      </w:pPr>
      <w:r>
        <w:rPr>
          <w:rFonts w:hint="eastAsia" w:ascii="黑体" w:hAnsi="黑体" w:eastAsia="黑体" w:cs="黑体"/>
          <w:b/>
          <w:color w:val="auto"/>
          <w:sz w:val="32"/>
          <w:highlight w:val="none"/>
          <w:lang w:val="en-US" w:eastAsia="zh-CN" w:bidi="ar-SA"/>
        </w:rPr>
      </w:r>
      <w:r/>
    </w:p>
    <w:p>
      <w:pPr>
        <w:ind w:right="6"/>
        <w:jc w:val="center"/>
        <w:spacing w:line="360" w:lineRule="auto"/>
        <w:widowControl w:val="off"/>
        <w:rPr>
          <w:rFonts w:hint="eastAsia" w:ascii="黑体" w:hAnsi="黑体" w:eastAsia="黑体" w:cs="黑体"/>
          <w:b/>
          <w:color w:val="auto"/>
          <w:sz w:val="32"/>
          <w:szCs w:val="22"/>
          <w:highlight w:val="none"/>
          <w:lang w:val="en-US" w:eastAsia="zh-CN" w:bidi="ar-SA"/>
        </w:rPr>
      </w:pPr>
      <w:r>
        <w:rPr>
          <w:rFonts w:hint="eastAsia" w:ascii="黑体" w:hAnsi="黑体" w:eastAsia="黑体" w:cs="黑体"/>
          <w:color w:val="auto"/>
          <w:highlight w:val="none"/>
        </w:rPr>
        <mc:AlternateContent>
          <mc:Choice Requires="wpg">
            <w:drawing>
              <wp:inline xmlns:wp="http://schemas.openxmlformats.org/drawingml/2006/wordprocessingDrawing" distT="0" distB="0" distL="0" distR="0">
                <wp:extent cx="2175510" cy="1629410"/>
                <wp:effectExtent l="0" t="0" r="15240" b="8890"/>
                <wp:docPr id="7"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图片1"/>
                        <pic:cNvPicPr>
                          <a:picLocks noChangeAspect="1"/>
                        </pic:cNvPicPr>
                        <pic:nvPr/>
                      </pic:nvPicPr>
                      <pic:blipFill>
                        <a:blip r:embed="rId17"/>
                        <a:stretch/>
                      </pic:blipFill>
                      <pic:spPr bwMode="auto">
                        <a:xfrm>
                          <a:off x="0" y="0"/>
                          <a:ext cx="2175510" cy="162941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71.3pt;height:128.3pt;mso-wrap-distance-left:0.0pt;mso-wrap-distance-top:0.0pt;mso-wrap-distance-right:0.0pt;mso-wrap-distance-bottom:0.0pt;" stroked="f">
                <v:path textboxrect="0,0,0,0"/>
                <v:imagedata r:id="rId17" o:title=""/>
              </v:shape>
            </w:pict>
          </mc:Fallback>
        </mc:AlternateContent>
      </w:r>
      <w:r/>
    </w:p>
    <w:p>
      <w:pPr>
        <w:ind w:left="256" w:right="6" w:firstLine="624"/>
        <w:jc w:val="both"/>
        <w:spacing w:line="360" w:lineRule="auto"/>
        <w:widowControl w:val="off"/>
        <w:rPr>
          <w:rFonts w:hint="eastAsia" w:ascii="黑体" w:hAnsi="黑体" w:eastAsia="黑体" w:cs="黑体"/>
          <w:b/>
          <w:color w:val="auto"/>
          <w:sz w:val="32"/>
          <w:szCs w:val="22"/>
          <w:highlight w:val="none"/>
          <w:lang w:val="en-US" w:eastAsia="zh-CN" w:bidi="ar-SA"/>
        </w:rPr>
      </w:pPr>
      <w:r>
        <w:rPr>
          <w:rFonts w:hint="eastAsia" w:ascii="黑体" w:hAnsi="黑体" w:eastAsia="黑体" w:cs="黑体"/>
          <w:b/>
          <w:color w:val="auto"/>
          <w:sz w:val="32"/>
          <w:szCs w:val="22"/>
          <w:highlight w:val="none"/>
          <w:lang w:val="en-US" w:eastAsia="zh-CN" w:bidi="ar-SA"/>
        </w:rPr>
      </w:r>
      <w:r/>
    </w:p>
    <w:p>
      <w:pPr>
        <w:ind w:firstLine="630"/>
        <w:jc w:val="left"/>
        <w:spacing w:line="360" w:lineRule="auto"/>
        <w:widowControl w:val="off"/>
        <w:rPr>
          <w:rFonts w:hint="eastAsia" w:ascii="黑体" w:hAnsi="黑体" w:eastAsia="黑体" w:cs="黑体"/>
          <w:color w:val="auto"/>
          <w:sz w:val="32"/>
          <w:highlight w:val="none"/>
          <w:lang w:val="en-US" w:eastAsia="zh-CN" w:bidi="ar-SA"/>
        </w:rPr>
      </w:pPr>
      <w:r>
        <w:rPr>
          <w:rFonts w:hint="eastAsia" w:ascii="黑体" w:hAnsi="黑体" w:eastAsia="黑体" w:cs="黑体"/>
          <w:color w:val="auto"/>
          <w:sz w:val="32"/>
          <w:highlight w:val="none"/>
          <w:lang w:val="en-US" w:eastAsia="zh-CN" w:bidi="ar-SA"/>
        </w:rPr>
      </w:r>
      <w:r/>
    </w:p>
    <w:p>
      <w:pPr>
        <w:ind w:firstLine="630"/>
        <w:jc w:val="left"/>
        <w:spacing w:line="360" w:lineRule="auto"/>
        <w:widowControl w:val="off"/>
        <w:rPr>
          <w:rFonts w:hint="eastAsia" w:ascii="黑体" w:hAnsi="黑体" w:eastAsia="黑体" w:cs="黑体"/>
          <w:color w:val="auto"/>
          <w:sz w:val="32"/>
          <w:highlight w:val="none"/>
          <w:lang w:val="en-US" w:eastAsia="zh-CN" w:bidi="ar-SA"/>
        </w:rPr>
      </w:pPr>
      <w:r>
        <w:rPr>
          <w:rFonts w:hint="eastAsia" w:ascii="黑体" w:hAnsi="黑体" w:eastAsia="黑体" w:cs="黑体"/>
          <w:color w:val="auto"/>
          <w:sz w:val="32"/>
          <w:highlight w:val="none"/>
          <w:lang w:val="en-US" w:eastAsia="zh-CN" w:bidi="ar-SA"/>
        </w:rPr>
      </w:r>
      <w:r/>
    </w:p>
    <w:p>
      <w:pPr>
        <w:ind w:left="840" w:firstLine="420"/>
        <w:jc w:val="left"/>
        <w:spacing w:line="360" w:lineRule="auto"/>
        <w:widowControl w:val="off"/>
        <w:rPr>
          <w:rFonts w:hint="eastAsia" w:ascii="黑体" w:hAnsi="黑体" w:eastAsia="黑体" w:cs="黑体"/>
          <w:color w:val="auto"/>
          <w:sz w:val="32"/>
          <w:highlight w:val="none"/>
          <w:lang w:val="en-US" w:eastAsia="zh-CN" w:bidi="ar-SA"/>
        </w:rPr>
      </w:pPr>
      <w:r>
        <w:rPr>
          <w:rFonts w:hint="eastAsia" w:ascii="黑体" w:hAnsi="黑体" w:eastAsia="黑体" w:cs="黑体"/>
          <w:color w:val="auto"/>
          <w:sz w:val="32"/>
          <w:szCs w:val="21"/>
          <w:highlight w:val="none"/>
          <w:lang w:val="en-US" w:eastAsia="zh-CN" w:bidi="ar-SA"/>
        </w:rPr>
        <w:t xml:space="preserve">项目编号：</w:t>
      </w:r>
      <w:r>
        <w:rPr>
          <w:rFonts w:hint="eastAsia" w:ascii="黑体" w:hAnsi="黑体" w:eastAsia="黑体" w:cs="黑体"/>
          <w:color w:val="auto"/>
          <w:sz w:val="32"/>
          <w:szCs w:val="22"/>
          <w:highlight w:val="none"/>
          <w:lang w:val="en-US" w:eastAsia="zh-CN" w:bidi="ar-SA"/>
        </w:rPr>
        <w:t xml:space="preserve">JSZC-320300-ZBZJ-C2026-0001</w:t>
      </w:r>
      <w:r/>
    </w:p>
    <w:p>
      <w:pPr>
        <w:ind w:left="840" w:firstLine="420"/>
        <w:jc w:val="left"/>
        <w:spacing w:line="360" w:lineRule="auto"/>
        <w:widowControl w:val="off"/>
        <w:rPr>
          <w:rFonts w:hint="eastAsia" w:ascii="黑体" w:hAnsi="黑体" w:eastAsia="黑体" w:cs="黑体"/>
          <w:color w:val="auto"/>
          <w:sz w:val="32"/>
          <w:highlight w:val="none"/>
          <w:lang w:val="en-US" w:eastAsia="zh-CN" w:bidi="ar-SA"/>
        </w:rPr>
      </w:pPr>
      <w:r>
        <w:rPr>
          <w:rFonts w:hint="eastAsia" w:ascii="黑体" w:hAnsi="黑体" w:eastAsia="黑体" w:cs="黑体"/>
          <w:color w:val="auto"/>
          <w:sz w:val="32"/>
          <w:szCs w:val="21"/>
          <w:highlight w:val="none"/>
          <w:lang w:val="en-US" w:eastAsia="zh-CN" w:bidi="ar-SA"/>
        </w:rPr>
        <w:t xml:space="preserve">项目名称：2026年市管道路零星沟槽修复工程</w:t>
      </w:r>
      <w:r/>
    </w:p>
    <w:p>
      <w:pPr>
        <w:ind w:left="840" w:firstLine="420"/>
        <w:jc w:val="left"/>
        <w:spacing w:line="360" w:lineRule="auto"/>
        <w:widowControl w:val="off"/>
        <w:rPr>
          <w:rFonts w:hint="eastAsia" w:ascii="黑体" w:hAnsi="黑体" w:eastAsia="黑体" w:cs="黑体"/>
          <w:color w:val="auto"/>
          <w:sz w:val="32"/>
          <w:highlight w:val="none"/>
          <w:lang w:val="en-US" w:eastAsia="zh-CN" w:bidi="ar-SA"/>
        </w:rPr>
      </w:pPr>
      <w:r>
        <w:rPr>
          <w:rFonts w:hint="eastAsia" w:ascii="黑体" w:hAnsi="黑体" w:eastAsia="黑体" w:cs="黑体"/>
          <w:color w:val="auto"/>
          <w:sz w:val="32"/>
          <w:szCs w:val="21"/>
          <w:highlight w:val="none"/>
          <w:lang w:val="en-US" w:eastAsia="zh-CN" w:bidi="ar-SA"/>
        </w:rPr>
        <w:t xml:space="preserve">采 购 人：徐州市市政管理中心</w:t>
      </w:r>
      <w:r/>
    </w:p>
    <w:p>
      <w:pPr>
        <w:ind w:left="840" w:firstLine="420"/>
        <w:jc w:val="left"/>
        <w:spacing w:line="360" w:lineRule="auto"/>
        <w:widowControl w:val="off"/>
        <w:rPr>
          <w:rFonts w:hint="eastAsia" w:ascii="黑体" w:hAnsi="黑体" w:eastAsia="黑体" w:cs="黑体"/>
          <w:color w:val="auto"/>
          <w:sz w:val="32"/>
          <w:szCs w:val="21"/>
          <w:highlight w:val="none"/>
          <w:lang w:val="en-US" w:eastAsia="zh-CN" w:bidi="ar-SA"/>
        </w:rPr>
      </w:pPr>
      <w:r>
        <w:rPr>
          <w:rFonts w:hint="eastAsia" w:ascii="黑体" w:hAnsi="黑体" w:eastAsia="黑体" w:cs="黑体"/>
          <w:color w:val="auto"/>
          <w:sz w:val="32"/>
          <w:szCs w:val="21"/>
          <w:highlight w:val="none"/>
          <w:lang w:val="en-US" w:eastAsia="zh-CN" w:bidi="ar-SA"/>
        </w:rPr>
      </w:r>
      <w:r/>
    </w:p>
    <w:p>
      <w:pPr>
        <w:ind w:left="840" w:firstLine="420"/>
        <w:jc w:val="left"/>
        <w:spacing w:line="360" w:lineRule="auto"/>
        <w:widowControl w:val="off"/>
        <w:rPr>
          <w:rFonts w:hint="eastAsia" w:ascii="黑体" w:hAnsi="黑体" w:eastAsia="黑体" w:cs="黑体"/>
          <w:color w:val="auto"/>
          <w:sz w:val="32"/>
          <w:szCs w:val="21"/>
          <w:highlight w:val="none"/>
          <w:lang w:val="en-US" w:eastAsia="zh-CN" w:bidi="ar-SA"/>
        </w:rPr>
      </w:pPr>
      <w:r>
        <w:rPr>
          <w:rFonts w:hint="eastAsia" w:ascii="黑体" w:hAnsi="黑体" w:eastAsia="黑体" w:cs="黑体"/>
          <w:color w:val="auto"/>
          <w:sz w:val="32"/>
          <w:szCs w:val="21"/>
          <w:highlight w:val="none"/>
          <w:lang w:val="en-US" w:eastAsia="zh-CN" w:bidi="ar-SA"/>
        </w:rPr>
      </w:r>
      <w:r/>
    </w:p>
    <w:p>
      <w:pPr>
        <w:ind w:left="840" w:firstLine="420"/>
        <w:jc w:val="left"/>
        <w:spacing w:line="360" w:lineRule="auto"/>
        <w:widowControl w:val="off"/>
        <w:rPr>
          <w:rFonts w:hint="default" w:ascii="黑体" w:hAnsi="黑体" w:eastAsia="黑体" w:cs="黑体"/>
          <w:color w:val="auto"/>
          <w:sz w:val="32"/>
          <w:szCs w:val="21"/>
          <w:highlight w:val="none"/>
          <w:lang w:val="en-US" w:eastAsia="zh-CN" w:bidi="ar-SA"/>
        </w:rPr>
      </w:pPr>
      <w:r>
        <w:rPr>
          <w:rFonts w:hint="eastAsia" w:ascii="黑体" w:hAnsi="黑体" w:eastAsia="黑体" w:cs="黑体"/>
          <w:color w:val="auto"/>
          <w:sz w:val="32"/>
          <w:szCs w:val="21"/>
          <w:highlight w:val="none"/>
          <w:lang w:val="en-US" w:eastAsia="zh-CN" w:bidi="ar-SA"/>
        </w:rPr>
        <w:t xml:space="preserve">采购代理机构：中经国际招标集团有限公司</w:t>
      </w:r>
      <w:r/>
    </w:p>
    <w:p>
      <w:pPr>
        <w:jc w:val="center"/>
        <w:spacing w:line="360" w:lineRule="auto"/>
        <w:widowControl w:val="off"/>
        <w:rPr>
          <w:rFonts w:hint="eastAsia" w:ascii="黑体" w:hAnsi="黑体" w:eastAsia="黑体" w:cs="黑体"/>
          <w:color w:val="auto"/>
          <w:sz w:val="32"/>
          <w:highlight w:val="none"/>
          <w:lang w:val="en-US" w:eastAsia="zh-CN" w:bidi="ar-SA"/>
        </w:rPr>
      </w:pPr>
      <w:r>
        <w:rPr>
          <w:rFonts w:hint="eastAsia" w:ascii="黑体" w:hAnsi="黑体" w:eastAsia="黑体" w:cs="黑体"/>
          <w:color w:val="auto"/>
          <w:sz w:val="32"/>
          <w:szCs w:val="21"/>
          <w:highlight w:val="none"/>
          <w:lang w:val="en-US" w:eastAsia="zh-CN" w:bidi="ar-SA"/>
        </w:rPr>
        <w:t xml:space="preserve">二〇二六年五月 </w:t>
      </w:r>
      <w:r>
        <w:rPr>
          <w:rFonts w:hint="eastAsia" w:ascii="黑体" w:hAnsi="黑体" w:eastAsia="黑体" w:cs="黑体"/>
          <w:b/>
          <w:bCs/>
          <w:color w:val="auto"/>
          <w:highlight w:val="none"/>
          <w:lang w:val="en-US" w:eastAsia="zh-CN" w:bidi="ar-SA"/>
        </w:rPr>
        <w:br w:type="page" w:clear="all"/>
      </w:r>
      <w:r/>
    </w:p>
    <w:p>
      <w:pPr>
        <w:jc w:val="center"/>
        <w:spacing w:line="360" w:lineRule="auto"/>
        <w:widowControl/>
        <w:rPr>
          <w:rFonts w:hint="eastAsia" w:ascii="黑体" w:hAnsi="黑体" w:eastAsia="黑体" w:cs="黑体"/>
          <w:color w:val="auto"/>
          <w:sz w:val="40"/>
          <w:szCs w:val="40"/>
          <w:highlight w:val="none"/>
        </w:rPr>
      </w:pPr>
      <w:r>
        <w:rPr>
          <w:rFonts w:hint="eastAsia" w:ascii="黑体" w:hAnsi="黑体" w:eastAsia="黑体" w:cs="黑体"/>
          <w:color w:val="auto"/>
          <w:sz w:val="40"/>
          <w:szCs w:val="40"/>
          <w:highlight w:val="none"/>
        </w:rPr>
        <w:t xml:space="preserve">目录</w:t>
      </w:r>
      <w:r/>
    </w:p>
    <w:p>
      <w:pPr>
        <w:jc w:val="both"/>
        <w:spacing w:after="0" w:line="360" w:lineRule="auto"/>
        <w:tabs>
          <w:tab w:val="right" w:pos="9692" w:leader="dot"/>
        </w:tabs>
        <w:rPr>
          <w:rFonts w:hint="eastAsia" w:ascii="黑体" w:hAnsi="黑体" w:eastAsia="黑体" w:cs="黑体"/>
          <w:color w:val="auto"/>
          <w:sz w:val="21"/>
          <w:szCs w:val="21"/>
          <w:highlight w:val="none"/>
          <w:lang w:val="en-US" w:eastAsia="zh-CN" w:bidi="ar-SA"/>
        </w:rPr>
      </w:pPr>
      <w:r>
        <w:rPr>
          <w:rFonts w:hint="eastAsia" w:ascii="黑体" w:hAnsi="黑体" w:eastAsia="黑体" w:cs="黑体"/>
          <w:b/>
          <w:bCs/>
          <w:color w:val="auto"/>
          <w:sz w:val="21"/>
          <w:szCs w:val="21"/>
          <w:highlight w:val="none"/>
          <w:lang w:val="zh-CN" w:eastAsia="zh-CN" w:bidi="ar-SA"/>
        </w:rPr>
        <w:fldChar w:fldCharType="begin"/>
      </w:r>
      <w:r>
        <w:rPr>
          <w:rFonts w:hint="eastAsia" w:ascii="黑体" w:hAnsi="黑体" w:eastAsia="黑体" w:cs="黑体"/>
          <w:b/>
          <w:bCs/>
          <w:color w:val="auto"/>
          <w:sz w:val="21"/>
          <w:szCs w:val="21"/>
          <w:highlight w:val="none"/>
          <w:lang w:val="zh-CN" w:eastAsia="zh-CN" w:bidi="ar-SA"/>
        </w:rPr>
        <w:instrText xml:space="preserve">TOC \o "1-2" \h \u </w:instrText>
      </w:r>
      <w:r>
        <w:rPr>
          <w:rFonts w:hint="eastAsia" w:ascii="黑体" w:hAnsi="黑体" w:eastAsia="黑体" w:cs="黑体"/>
          <w:b/>
          <w:bCs/>
          <w:color w:val="auto"/>
          <w:sz w:val="21"/>
          <w:szCs w:val="21"/>
          <w:highlight w:val="none"/>
          <w:lang w:val="zh-CN" w:eastAsia="zh-CN" w:bidi="ar-SA"/>
        </w:rPr>
        <w:fldChar w:fldCharType="separate"/>
      </w:r>
      <w:r>
        <w:rPr>
          <w:rFonts w:hint="eastAsia" w:ascii="黑体" w:hAnsi="黑体" w:eastAsia="黑体" w:cs="黑体"/>
          <w:color w:val="auto"/>
          <w:sz w:val="21"/>
          <w:szCs w:val="21"/>
          <w:highlight w:val="none"/>
          <w:lang w:val="en-US" w:eastAsia="zh-CN" w:bidi="ar-SA"/>
        </w:rPr>
        <w:fldChar w:fldCharType="begin"/>
      </w:r>
      <w:r>
        <w:rPr>
          <w:rFonts w:hint="eastAsia" w:ascii="黑体" w:hAnsi="黑体" w:eastAsia="黑体" w:cs="黑体"/>
          <w:color w:val="auto"/>
          <w:sz w:val="21"/>
          <w:szCs w:val="21"/>
          <w:highlight w:val="none"/>
          <w:lang w:val="en-US" w:eastAsia="zh-CN" w:bidi="ar-SA"/>
        </w:rPr>
        <w:instrText xml:space="preserve"> HYPERLINK \l "_Toc4955" </w:instrText>
      </w:r>
      <w:r>
        <w:rPr>
          <w:rFonts w:hint="eastAsia" w:ascii="黑体" w:hAnsi="黑体" w:eastAsia="黑体" w:cs="黑体"/>
          <w:color w:val="auto"/>
          <w:sz w:val="21"/>
          <w:szCs w:val="21"/>
          <w:highlight w:val="none"/>
          <w:lang w:val="en-US" w:eastAsia="zh-CN" w:bidi="ar-SA"/>
        </w:rPr>
        <w:fldChar w:fldCharType="separate"/>
      </w:r>
      <w:r>
        <w:rPr>
          <w:rFonts w:hint="eastAsia" w:ascii="黑体" w:hAnsi="黑体" w:eastAsia="黑体" w:cs="黑体"/>
          <w:color w:val="auto"/>
          <w:sz w:val="21"/>
          <w:szCs w:val="24"/>
          <w:highlight w:val="none"/>
          <w:lang w:val="en-US" w:eastAsia="zh-CN" w:bidi="ar-SA"/>
        </w:rPr>
        <w:t xml:space="preserve">第一章 项目说明</w:t>
      </w:r>
      <w:r>
        <w:rPr>
          <w:rFonts w:hint="eastAsia" w:ascii="黑体" w:hAnsi="黑体" w:eastAsia="黑体" w:cs="黑体"/>
          <w:color w:val="auto"/>
          <w:sz w:val="21"/>
          <w:szCs w:val="21"/>
          <w:highlight w:val="none"/>
          <w:lang w:val="en-US" w:eastAsia="zh-CN" w:bidi="ar-SA"/>
        </w:rPr>
        <w:tab/>
      </w:r>
      <w:r>
        <w:rPr>
          <w:rFonts w:hint="eastAsia" w:ascii="黑体" w:hAnsi="黑体" w:eastAsia="黑体" w:cs="黑体"/>
          <w:color w:val="auto"/>
          <w:sz w:val="21"/>
          <w:szCs w:val="21"/>
          <w:highlight w:val="none"/>
          <w:lang w:val="en-US" w:eastAsia="zh-CN" w:bidi="ar-SA"/>
        </w:rPr>
        <w:fldChar w:fldCharType="begin"/>
      </w:r>
      <w:r>
        <w:rPr>
          <w:rFonts w:hint="eastAsia" w:ascii="黑体" w:hAnsi="黑体" w:eastAsia="黑体" w:cs="黑体"/>
          <w:color w:val="auto"/>
          <w:sz w:val="21"/>
          <w:szCs w:val="21"/>
          <w:highlight w:val="none"/>
          <w:lang w:val="en-US" w:eastAsia="zh-CN" w:bidi="ar-SA"/>
        </w:rPr>
        <w:instrText xml:space="preserve"> PAGEREF _Toc4955 \h </w:instrText>
      </w:r>
      <w:r>
        <w:rPr>
          <w:rFonts w:hint="eastAsia" w:ascii="黑体" w:hAnsi="黑体" w:eastAsia="黑体" w:cs="黑体"/>
          <w:color w:val="auto"/>
          <w:sz w:val="21"/>
          <w:szCs w:val="21"/>
          <w:highlight w:val="none"/>
          <w:lang w:val="en-US" w:eastAsia="zh-CN" w:bidi="ar-SA"/>
        </w:rPr>
        <w:fldChar w:fldCharType="separate"/>
      </w:r>
      <w:r>
        <w:rPr>
          <w:rFonts w:hint="eastAsia" w:ascii="黑体" w:hAnsi="黑体" w:eastAsia="黑体" w:cs="黑体"/>
          <w:color w:val="auto"/>
          <w:sz w:val="21"/>
          <w:szCs w:val="21"/>
          <w:highlight w:val="none"/>
          <w:lang w:val="en-US" w:eastAsia="zh-CN" w:bidi="ar-SA"/>
        </w:rPr>
        <w:t xml:space="preserve">1</w:t>
      </w:r>
      <w:r>
        <w:rPr>
          <w:rFonts w:hint="eastAsia" w:ascii="黑体" w:hAnsi="黑体" w:eastAsia="黑体" w:cs="黑体"/>
          <w:color w:val="auto"/>
          <w:sz w:val="21"/>
          <w:szCs w:val="21"/>
          <w:highlight w:val="none"/>
          <w:lang w:val="en-US" w:eastAsia="zh-CN" w:bidi="ar-SA"/>
        </w:rPr>
        <w:fldChar w:fldCharType="end"/>
      </w:r>
      <w:r>
        <w:rPr>
          <w:rFonts w:hint="eastAsia" w:ascii="黑体" w:hAnsi="黑体" w:eastAsia="黑体" w:cs="黑体"/>
          <w:color w:val="auto"/>
          <w:sz w:val="21"/>
          <w:szCs w:val="21"/>
          <w:highlight w:val="none"/>
          <w:lang w:val="en-US" w:eastAsia="zh-CN" w:bidi="ar-SA"/>
        </w:rPr>
        <w:fldChar w:fldCharType="end"/>
      </w:r>
      <w:r/>
    </w:p>
    <w:p>
      <w:pPr>
        <w:jc w:val="both"/>
        <w:spacing w:after="0" w:line="360" w:lineRule="auto"/>
        <w:tabs>
          <w:tab w:val="right" w:pos="9692" w:leader="dot"/>
        </w:tabs>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fldChar w:fldCharType="begin"/>
      </w:r>
      <w:r>
        <w:rPr>
          <w:rFonts w:hint="eastAsia" w:ascii="黑体" w:hAnsi="黑体" w:eastAsia="黑体" w:cs="黑体"/>
          <w:color w:val="auto"/>
          <w:sz w:val="21"/>
          <w:szCs w:val="21"/>
          <w:highlight w:val="none"/>
          <w:lang w:val="en-US" w:eastAsia="zh-CN" w:bidi="ar-SA"/>
        </w:rPr>
        <w:instrText xml:space="preserve"> HYPERLINK \l "_Toc2478" </w:instrText>
      </w:r>
      <w:r>
        <w:rPr>
          <w:rFonts w:hint="eastAsia" w:ascii="黑体" w:hAnsi="黑体" w:eastAsia="黑体" w:cs="黑体"/>
          <w:color w:val="auto"/>
          <w:sz w:val="21"/>
          <w:szCs w:val="21"/>
          <w:highlight w:val="none"/>
          <w:lang w:val="en-US" w:eastAsia="zh-CN" w:bidi="ar-SA"/>
        </w:rPr>
        <w:fldChar w:fldCharType="separate"/>
      </w:r>
      <w:r>
        <w:rPr>
          <w:rFonts w:hint="eastAsia" w:ascii="黑体" w:hAnsi="黑体" w:eastAsia="黑体" w:cs="黑体"/>
          <w:color w:val="auto"/>
          <w:sz w:val="21"/>
          <w:szCs w:val="24"/>
          <w:highlight w:val="none"/>
          <w:lang w:val="en-US" w:eastAsia="zh-CN" w:bidi="ar-SA"/>
        </w:rPr>
        <w:t xml:space="preserve">第二章 响应文件要求</w:t>
      </w:r>
      <w:r>
        <w:rPr>
          <w:rFonts w:hint="eastAsia" w:ascii="黑体" w:hAnsi="黑体" w:eastAsia="黑体" w:cs="黑体"/>
          <w:color w:val="auto"/>
          <w:sz w:val="21"/>
          <w:szCs w:val="21"/>
          <w:highlight w:val="none"/>
          <w:lang w:val="en-US" w:eastAsia="zh-CN" w:bidi="ar-SA"/>
        </w:rPr>
        <w:tab/>
      </w:r>
      <w:r>
        <w:rPr>
          <w:rFonts w:hint="eastAsia" w:ascii="黑体" w:hAnsi="黑体" w:eastAsia="黑体" w:cs="黑体"/>
          <w:color w:val="auto"/>
          <w:sz w:val="21"/>
          <w:szCs w:val="21"/>
          <w:highlight w:val="none"/>
          <w:lang w:val="en-US" w:eastAsia="zh-CN" w:bidi="ar-SA"/>
        </w:rPr>
        <w:fldChar w:fldCharType="begin"/>
      </w:r>
      <w:r>
        <w:rPr>
          <w:rFonts w:hint="eastAsia" w:ascii="黑体" w:hAnsi="黑体" w:eastAsia="黑体" w:cs="黑体"/>
          <w:color w:val="auto"/>
          <w:sz w:val="21"/>
          <w:szCs w:val="21"/>
          <w:highlight w:val="none"/>
          <w:lang w:val="en-US" w:eastAsia="zh-CN" w:bidi="ar-SA"/>
        </w:rPr>
        <w:instrText xml:space="preserve"> PAGEREF _Toc2478 \h </w:instrText>
      </w:r>
      <w:r>
        <w:rPr>
          <w:rFonts w:hint="eastAsia" w:ascii="黑体" w:hAnsi="黑体" w:eastAsia="黑体" w:cs="黑体"/>
          <w:color w:val="auto"/>
          <w:sz w:val="21"/>
          <w:szCs w:val="21"/>
          <w:highlight w:val="none"/>
          <w:lang w:val="en-US" w:eastAsia="zh-CN" w:bidi="ar-SA"/>
        </w:rPr>
        <w:fldChar w:fldCharType="separate"/>
      </w:r>
      <w:r>
        <w:rPr>
          <w:rFonts w:hint="eastAsia" w:ascii="黑体" w:hAnsi="黑体" w:eastAsia="黑体" w:cs="黑体"/>
          <w:color w:val="auto"/>
          <w:sz w:val="21"/>
          <w:szCs w:val="21"/>
          <w:highlight w:val="none"/>
          <w:lang w:val="en-US" w:eastAsia="zh-CN" w:bidi="ar-SA"/>
        </w:rPr>
        <w:t xml:space="preserve">2</w:t>
      </w:r>
      <w:r>
        <w:rPr>
          <w:rFonts w:hint="eastAsia" w:ascii="黑体" w:hAnsi="黑体" w:eastAsia="黑体" w:cs="黑体"/>
          <w:color w:val="auto"/>
          <w:sz w:val="21"/>
          <w:szCs w:val="21"/>
          <w:highlight w:val="none"/>
          <w:lang w:val="en-US" w:eastAsia="zh-CN" w:bidi="ar-SA"/>
        </w:rPr>
        <w:fldChar w:fldCharType="end"/>
      </w:r>
      <w:r>
        <w:rPr>
          <w:rFonts w:hint="eastAsia" w:ascii="黑体" w:hAnsi="黑体" w:eastAsia="黑体" w:cs="黑体"/>
          <w:color w:val="auto"/>
          <w:sz w:val="21"/>
          <w:szCs w:val="21"/>
          <w:highlight w:val="none"/>
          <w:lang w:val="en-US" w:eastAsia="zh-CN" w:bidi="ar-SA"/>
        </w:rPr>
        <w:fldChar w:fldCharType="end"/>
      </w:r>
      <w:r/>
    </w:p>
    <w:p>
      <w:pPr>
        <w:jc w:val="both"/>
        <w:spacing w:after="0" w:line="360" w:lineRule="auto"/>
        <w:tabs>
          <w:tab w:val="right" w:pos="9692" w:leader="dot"/>
        </w:tabs>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fldChar w:fldCharType="begin"/>
      </w:r>
      <w:r>
        <w:rPr>
          <w:rFonts w:hint="eastAsia" w:ascii="黑体" w:hAnsi="黑体" w:eastAsia="黑体" w:cs="黑体"/>
          <w:color w:val="auto"/>
          <w:sz w:val="21"/>
          <w:szCs w:val="21"/>
          <w:highlight w:val="none"/>
          <w:lang w:val="en-US" w:eastAsia="zh-CN" w:bidi="ar-SA"/>
        </w:rPr>
        <w:instrText xml:space="preserve"> HYPERLINK \l "_Toc11874" </w:instrText>
      </w:r>
      <w:r>
        <w:rPr>
          <w:rFonts w:hint="eastAsia" w:ascii="黑体" w:hAnsi="黑体" w:eastAsia="黑体" w:cs="黑体"/>
          <w:color w:val="auto"/>
          <w:sz w:val="21"/>
          <w:szCs w:val="21"/>
          <w:highlight w:val="none"/>
          <w:lang w:val="en-US" w:eastAsia="zh-CN" w:bidi="ar-SA"/>
        </w:rPr>
        <w:fldChar w:fldCharType="separate"/>
      </w:r>
      <w:r>
        <w:rPr>
          <w:rFonts w:hint="eastAsia" w:ascii="黑体" w:hAnsi="黑体" w:eastAsia="黑体" w:cs="黑体"/>
          <w:color w:val="auto"/>
          <w:sz w:val="21"/>
          <w:szCs w:val="40"/>
          <w:highlight w:val="none"/>
          <w:lang w:val="en-US" w:eastAsia="zh-CN" w:bidi="ar-SA"/>
        </w:rPr>
        <w:t xml:space="preserve">第三章 磋商相关说明</w:t>
      </w:r>
      <w:r>
        <w:rPr>
          <w:rFonts w:hint="eastAsia" w:ascii="黑体" w:hAnsi="黑体" w:eastAsia="黑体" w:cs="黑体"/>
          <w:color w:val="auto"/>
          <w:sz w:val="21"/>
          <w:szCs w:val="21"/>
          <w:highlight w:val="none"/>
          <w:lang w:val="en-US" w:eastAsia="zh-CN" w:bidi="ar-SA"/>
        </w:rPr>
        <w:tab/>
      </w:r>
      <w:r>
        <w:rPr>
          <w:rFonts w:hint="eastAsia" w:ascii="黑体" w:hAnsi="黑体" w:eastAsia="黑体" w:cs="黑体"/>
          <w:color w:val="auto"/>
          <w:sz w:val="21"/>
          <w:szCs w:val="21"/>
          <w:highlight w:val="none"/>
          <w:lang w:val="en-US" w:eastAsia="zh-CN" w:bidi="ar-SA"/>
        </w:rPr>
        <w:fldChar w:fldCharType="begin"/>
      </w:r>
      <w:r>
        <w:rPr>
          <w:rFonts w:hint="eastAsia" w:ascii="黑体" w:hAnsi="黑体" w:eastAsia="黑体" w:cs="黑体"/>
          <w:color w:val="auto"/>
          <w:sz w:val="21"/>
          <w:szCs w:val="21"/>
          <w:highlight w:val="none"/>
          <w:lang w:val="en-US" w:eastAsia="zh-CN" w:bidi="ar-SA"/>
        </w:rPr>
        <w:instrText xml:space="preserve"> PAGEREF _Toc11874 \h </w:instrText>
      </w:r>
      <w:r>
        <w:rPr>
          <w:rFonts w:hint="eastAsia" w:ascii="黑体" w:hAnsi="黑体" w:eastAsia="黑体" w:cs="黑体"/>
          <w:color w:val="auto"/>
          <w:sz w:val="21"/>
          <w:szCs w:val="21"/>
          <w:highlight w:val="none"/>
          <w:lang w:val="en-US" w:eastAsia="zh-CN" w:bidi="ar-SA"/>
        </w:rPr>
        <w:fldChar w:fldCharType="separate"/>
      </w:r>
      <w:r>
        <w:rPr>
          <w:rFonts w:hint="eastAsia" w:ascii="黑体" w:hAnsi="黑体" w:eastAsia="黑体" w:cs="黑体"/>
          <w:color w:val="auto"/>
          <w:sz w:val="21"/>
          <w:szCs w:val="21"/>
          <w:highlight w:val="none"/>
          <w:lang w:val="en-US" w:eastAsia="zh-CN" w:bidi="ar-SA"/>
        </w:rPr>
        <w:t xml:space="preserve">6</w:t>
      </w:r>
      <w:r>
        <w:rPr>
          <w:rFonts w:hint="eastAsia" w:ascii="黑体" w:hAnsi="黑体" w:eastAsia="黑体" w:cs="黑体"/>
          <w:color w:val="auto"/>
          <w:sz w:val="21"/>
          <w:szCs w:val="21"/>
          <w:highlight w:val="none"/>
          <w:lang w:val="en-US" w:eastAsia="zh-CN" w:bidi="ar-SA"/>
        </w:rPr>
        <w:fldChar w:fldCharType="end"/>
      </w:r>
      <w:r>
        <w:rPr>
          <w:rFonts w:hint="eastAsia" w:ascii="黑体" w:hAnsi="黑体" w:eastAsia="黑体" w:cs="黑体"/>
          <w:color w:val="auto"/>
          <w:sz w:val="21"/>
          <w:szCs w:val="21"/>
          <w:highlight w:val="none"/>
          <w:lang w:val="en-US" w:eastAsia="zh-CN" w:bidi="ar-SA"/>
        </w:rPr>
        <w:fldChar w:fldCharType="end"/>
      </w:r>
      <w:r/>
    </w:p>
    <w:p>
      <w:pPr>
        <w:jc w:val="both"/>
        <w:spacing w:after="0" w:line="360" w:lineRule="auto"/>
        <w:tabs>
          <w:tab w:val="right" w:pos="9692" w:leader="dot"/>
        </w:tabs>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fldChar w:fldCharType="begin"/>
      </w:r>
      <w:r>
        <w:rPr>
          <w:rFonts w:hint="eastAsia" w:ascii="黑体" w:hAnsi="黑体" w:eastAsia="黑体" w:cs="黑体"/>
          <w:color w:val="auto"/>
          <w:sz w:val="21"/>
          <w:szCs w:val="21"/>
          <w:highlight w:val="none"/>
          <w:lang w:val="en-US" w:eastAsia="zh-CN" w:bidi="ar-SA"/>
        </w:rPr>
        <w:instrText xml:space="preserve"> HYPERLINK \l "_Toc13546" </w:instrText>
      </w:r>
      <w:r>
        <w:rPr>
          <w:rFonts w:hint="eastAsia" w:ascii="黑体" w:hAnsi="黑体" w:eastAsia="黑体" w:cs="黑体"/>
          <w:color w:val="auto"/>
          <w:sz w:val="21"/>
          <w:szCs w:val="21"/>
          <w:highlight w:val="none"/>
          <w:lang w:val="en-US" w:eastAsia="zh-CN" w:bidi="ar-SA"/>
        </w:rPr>
        <w:fldChar w:fldCharType="separate"/>
      </w:r>
      <w:r>
        <w:rPr>
          <w:rFonts w:hint="eastAsia" w:ascii="黑体" w:hAnsi="黑体" w:eastAsia="黑体" w:cs="黑体"/>
          <w:bCs/>
          <w:color w:val="auto"/>
          <w:sz w:val="21"/>
          <w:szCs w:val="24"/>
          <w:highlight w:val="none"/>
          <w:lang w:val="en-US" w:eastAsia="zh-CN" w:bidi="ar-SA"/>
        </w:rPr>
        <w:t xml:space="preserve">第四章 确定成交供应商及合同签订等</w:t>
      </w:r>
      <w:r>
        <w:rPr>
          <w:rFonts w:hint="eastAsia" w:ascii="黑体" w:hAnsi="黑体" w:eastAsia="黑体" w:cs="黑体"/>
          <w:color w:val="auto"/>
          <w:sz w:val="21"/>
          <w:szCs w:val="21"/>
          <w:highlight w:val="none"/>
          <w:lang w:val="en-US" w:eastAsia="zh-CN" w:bidi="ar-SA"/>
        </w:rPr>
        <w:tab/>
      </w:r>
      <w:r>
        <w:rPr>
          <w:rFonts w:hint="eastAsia" w:ascii="黑体" w:hAnsi="黑体" w:eastAsia="黑体" w:cs="黑体"/>
          <w:color w:val="auto"/>
          <w:sz w:val="21"/>
          <w:szCs w:val="21"/>
          <w:highlight w:val="none"/>
          <w:lang w:val="en-US" w:eastAsia="zh-CN" w:bidi="ar-SA"/>
        </w:rPr>
        <w:fldChar w:fldCharType="begin"/>
      </w:r>
      <w:r>
        <w:rPr>
          <w:rFonts w:hint="eastAsia" w:ascii="黑体" w:hAnsi="黑体" w:eastAsia="黑体" w:cs="黑体"/>
          <w:color w:val="auto"/>
          <w:sz w:val="21"/>
          <w:szCs w:val="21"/>
          <w:highlight w:val="none"/>
          <w:lang w:val="en-US" w:eastAsia="zh-CN" w:bidi="ar-SA"/>
        </w:rPr>
        <w:instrText xml:space="preserve"> PAGEREF _Toc13546 \h </w:instrText>
      </w:r>
      <w:r>
        <w:rPr>
          <w:rFonts w:hint="eastAsia" w:ascii="黑体" w:hAnsi="黑体" w:eastAsia="黑体" w:cs="黑体"/>
          <w:color w:val="auto"/>
          <w:sz w:val="21"/>
          <w:szCs w:val="21"/>
          <w:highlight w:val="none"/>
          <w:lang w:val="en-US" w:eastAsia="zh-CN" w:bidi="ar-SA"/>
        </w:rPr>
        <w:fldChar w:fldCharType="separate"/>
      </w:r>
      <w:r>
        <w:rPr>
          <w:rFonts w:hint="eastAsia" w:ascii="黑体" w:hAnsi="黑体" w:eastAsia="黑体" w:cs="黑体"/>
          <w:color w:val="auto"/>
          <w:sz w:val="21"/>
          <w:szCs w:val="21"/>
          <w:highlight w:val="none"/>
          <w:lang w:val="en-US" w:eastAsia="zh-CN" w:bidi="ar-SA"/>
        </w:rPr>
        <w:t xml:space="preserve">10</w:t>
      </w:r>
      <w:r>
        <w:rPr>
          <w:rFonts w:hint="eastAsia" w:ascii="黑体" w:hAnsi="黑体" w:eastAsia="黑体" w:cs="黑体"/>
          <w:color w:val="auto"/>
          <w:sz w:val="21"/>
          <w:szCs w:val="21"/>
          <w:highlight w:val="none"/>
          <w:lang w:val="en-US" w:eastAsia="zh-CN" w:bidi="ar-SA"/>
        </w:rPr>
        <w:fldChar w:fldCharType="end"/>
      </w:r>
      <w:r>
        <w:rPr>
          <w:rFonts w:hint="eastAsia" w:ascii="黑体" w:hAnsi="黑体" w:eastAsia="黑体" w:cs="黑体"/>
          <w:color w:val="auto"/>
          <w:sz w:val="21"/>
          <w:szCs w:val="21"/>
          <w:highlight w:val="none"/>
          <w:lang w:val="en-US" w:eastAsia="zh-CN" w:bidi="ar-SA"/>
        </w:rPr>
        <w:fldChar w:fldCharType="end"/>
      </w:r>
      <w:r/>
    </w:p>
    <w:p>
      <w:pPr>
        <w:jc w:val="both"/>
        <w:spacing w:after="0" w:line="360" w:lineRule="auto"/>
        <w:tabs>
          <w:tab w:val="right" w:pos="9692" w:leader="dot"/>
        </w:tabs>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fldChar w:fldCharType="begin"/>
      </w:r>
      <w:r>
        <w:rPr>
          <w:rFonts w:hint="eastAsia" w:ascii="黑体" w:hAnsi="黑体" w:eastAsia="黑体" w:cs="黑体"/>
          <w:color w:val="auto"/>
          <w:sz w:val="21"/>
          <w:szCs w:val="21"/>
          <w:highlight w:val="none"/>
          <w:lang w:val="en-US" w:eastAsia="zh-CN" w:bidi="ar-SA"/>
        </w:rPr>
        <w:instrText xml:space="preserve"> HYPERLINK \l "_Toc24666" </w:instrText>
      </w:r>
      <w:r>
        <w:rPr>
          <w:rFonts w:hint="eastAsia" w:ascii="黑体" w:hAnsi="黑体" w:eastAsia="黑体" w:cs="黑体"/>
          <w:color w:val="auto"/>
          <w:sz w:val="21"/>
          <w:szCs w:val="21"/>
          <w:highlight w:val="none"/>
          <w:lang w:val="en-US" w:eastAsia="zh-CN" w:bidi="ar-SA"/>
        </w:rPr>
        <w:fldChar w:fldCharType="separate"/>
      </w:r>
      <w:r>
        <w:rPr>
          <w:rFonts w:hint="eastAsia" w:ascii="黑体" w:hAnsi="黑体" w:eastAsia="黑体" w:cs="黑体"/>
          <w:bCs/>
          <w:color w:val="auto"/>
          <w:sz w:val="21"/>
          <w:szCs w:val="24"/>
          <w:highlight w:val="none"/>
          <w:lang w:val="en-US" w:eastAsia="zh-CN" w:bidi="ar-SA"/>
        </w:rPr>
        <w:t xml:space="preserve">第五章 磋商文件的澄清或者修改</w:t>
      </w:r>
      <w:r>
        <w:rPr>
          <w:rFonts w:hint="eastAsia" w:ascii="黑体" w:hAnsi="黑体" w:eastAsia="黑体" w:cs="黑体"/>
          <w:color w:val="auto"/>
          <w:sz w:val="21"/>
          <w:szCs w:val="21"/>
          <w:highlight w:val="none"/>
          <w:lang w:val="en-US" w:eastAsia="zh-CN" w:bidi="ar-SA"/>
        </w:rPr>
        <w:tab/>
      </w:r>
      <w:r>
        <w:rPr>
          <w:rFonts w:hint="eastAsia" w:ascii="黑体" w:hAnsi="黑体" w:eastAsia="黑体" w:cs="黑体"/>
          <w:color w:val="auto"/>
          <w:sz w:val="21"/>
          <w:szCs w:val="21"/>
          <w:highlight w:val="none"/>
          <w:lang w:val="en-US" w:eastAsia="zh-CN" w:bidi="ar-SA"/>
        </w:rPr>
        <w:fldChar w:fldCharType="begin"/>
      </w:r>
      <w:r>
        <w:rPr>
          <w:rFonts w:hint="eastAsia" w:ascii="黑体" w:hAnsi="黑体" w:eastAsia="黑体" w:cs="黑体"/>
          <w:color w:val="auto"/>
          <w:sz w:val="21"/>
          <w:szCs w:val="21"/>
          <w:highlight w:val="none"/>
          <w:lang w:val="en-US" w:eastAsia="zh-CN" w:bidi="ar-SA"/>
        </w:rPr>
        <w:instrText xml:space="preserve"> PAGEREF _Toc24666 \h </w:instrText>
      </w:r>
      <w:r>
        <w:rPr>
          <w:rFonts w:hint="eastAsia" w:ascii="黑体" w:hAnsi="黑体" w:eastAsia="黑体" w:cs="黑体"/>
          <w:color w:val="auto"/>
          <w:sz w:val="21"/>
          <w:szCs w:val="21"/>
          <w:highlight w:val="none"/>
          <w:lang w:val="en-US" w:eastAsia="zh-CN" w:bidi="ar-SA"/>
        </w:rPr>
        <w:fldChar w:fldCharType="separate"/>
      </w:r>
      <w:r>
        <w:rPr>
          <w:rFonts w:hint="eastAsia" w:ascii="黑体" w:hAnsi="黑体" w:eastAsia="黑体" w:cs="黑体"/>
          <w:color w:val="auto"/>
          <w:sz w:val="21"/>
          <w:szCs w:val="21"/>
          <w:highlight w:val="none"/>
          <w:lang w:val="en-US" w:eastAsia="zh-CN" w:bidi="ar-SA"/>
        </w:rPr>
        <w:t xml:space="preserve">11</w:t>
      </w:r>
      <w:r>
        <w:rPr>
          <w:rFonts w:hint="eastAsia" w:ascii="黑体" w:hAnsi="黑体" w:eastAsia="黑体" w:cs="黑体"/>
          <w:color w:val="auto"/>
          <w:sz w:val="21"/>
          <w:szCs w:val="21"/>
          <w:highlight w:val="none"/>
          <w:lang w:val="en-US" w:eastAsia="zh-CN" w:bidi="ar-SA"/>
        </w:rPr>
        <w:fldChar w:fldCharType="end"/>
      </w:r>
      <w:r>
        <w:rPr>
          <w:rFonts w:hint="eastAsia" w:ascii="黑体" w:hAnsi="黑体" w:eastAsia="黑体" w:cs="黑体"/>
          <w:color w:val="auto"/>
          <w:sz w:val="21"/>
          <w:szCs w:val="21"/>
          <w:highlight w:val="none"/>
          <w:lang w:val="en-US" w:eastAsia="zh-CN" w:bidi="ar-SA"/>
        </w:rPr>
        <w:fldChar w:fldCharType="end"/>
      </w:r>
      <w:r/>
    </w:p>
    <w:p>
      <w:pPr>
        <w:jc w:val="both"/>
        <w:spacing w:after="0" w:line="360" w:lineRule="auto"/>
        <w:tabs>
          <w:tab w:val="right" w:pos="9692" w:leader="dot"/>
        </w:tabs>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fldChar w:fldCharType="begin"/>
      </w:r>
      <w:r>
        <w:rPr>
          <w:rFonts w:hint="eastAsia" w:ascii="黑体" w:hAnsi="黑体" w:eastAsia="黑体" w:cs="黑体"/>
          <w:color w:val="auto"/>
          <w:sz w:val="21"/>
          <w:szCs w:val="21"/>
          <w:highlight w:val="none"/>
          <w:lang w:val="en-US" w:eastAsia="zh-CN" w:bidi="ar-SA"/>
        </w:rPr>
        <w:instrText xml:space="preserve"> HYPERLINK \l "_Toc2592" </w:instrText>
      </w:r>
      <w:r>
        <w:rPr>
          <w:rFonts w:hint="eastAsia" w:ascii="黑体" w:hAnsi="黑体" w:eastAsia="黑体" w:cs="黑体"/>
          <w:color w:val="auto"/>
          <w:sz w:val="21"/>
          <w:szCs w:val="21"/>
          <w:highlight w:val="none"/>
          <w:lang w:val="en-US" w:eastAsia="zh-CN" w:bidi="ar-SA"/>
        </w:rPr>
        <w:fldChar w:fldCharType="separate"/>
      </w:r>
      <w:r>
        <w:rPr>
          <w:rFonts w:hint="eastAsia" w:ascii="黑体" w:hAnsi="黑体" w:eastAsia="黑体" w:cs="黑体"/>
          <w:bCs/>
          <w:color w:val="auto"/>
          <w:sz w:val="21"/>
          <w:szCs w:val="24"/>
          <w:highlight w:val="none"/>
          <w:lang w:val="en-US" w:eastAsia="zh-CN" w:bidi="ar-SA"/>
        </w:rPr>
        <w:t xml:space="preserve">第六章 询问和质疑</w:t>
      </w:r>
      <w:r>
        <w:rPr>
          <w:rFonts w:hint="eastAsia" w:ascii="黑体" w:hAnsi="黑体" w:eastAsia="黑体" w:cs="黑体"/>
          <w:color w:val="auto"/>
          <w:sz w:val="21"/>
          <w:szCs w:val="21"/>
          <w:highlight w:val="none"/>
          <w:lang w:val="en-US" w:eastAsia="zh-CN" w:bidi="ar-SA"/>
        </w:rPr>
        <w:tab/>
      </w:r>
      <w:r>
        <w:rPr>
          <w:rFonts w:hint="eastAsia" w:ascii="黑体" w:hAnsi="黑体" w:eastAsia="黑体" w:cs="黑体"/>
          <w:color w:val="auto"/>
          <w:sz w:val="21"/>
          <w:szCs w:val="21"/>
          <w:highlight w:val="none"/>
          <w:lang w:val="en-US" w:eastAsia="zh-CN" w:bidi="ar-SA"/>
        </w:rPr>
        <w:fldChar w:fldCharType="begin"/>
      </w:r>
      <w:r>
        <w:rPr>
          <w:rFonts w:hint="eastAsia" w:ascii="黑体" w:hAnsi="黑体" w:eastAsia="黑体" w:cs="黑体"/>
          <w:color w:val="auto"/>
          <w:sz w:val="21"/>
          <w:szCs w:val="21"/>
          <w:highlight w:val="none"/>
          <w:lang w:val="en-US" w:eastAsia="zh-CN" w:bidi="ar-SA"/>
        </w:rPr>
        <w:instrText xml:space="preserve"> PAGEREF _Toc2592 \h </w:instrText>
      </w:r>
      <w:r>
        <w:rPr>
          <w:rFonts w:hint="eastAsia" w:ascii="黑体" w:hAnsi="黑体" w:eastAsia="黑体" w:cs="黑体"/>
          <w:color w:val="auto"/>
          <w:sz w:val="21"/>
          <w:szCs w:val="21"/>
          <w:highlight w:val="none"/>
          <w:lang w:val="en-US" w:eastAsia="zh-CN" w:bidi="ar-SA"/>
        </w:rPr>
        <w:fldChar w:fldCharType="separate"/>
      </w:r>
      <w:r>
        <w:rPr>
          <w:rFonts w:hint="eastAsia" w:ascii="黑体" w:hAnsi="黑体" w:eastAsia="黑体" w:cs="黑体"/>
          <w:color w:val="auto"/>
          <w:sz w:val="21"/>
          <w:szCs w:val="21"/>
          <w:highlight w:val="none"/>
          <w:lang w:val="en-US" w:eastAsia="zh-CN" w:bidi="ar-SA"/>
        </w:rPr>
        <w:t xml:space="preserve">11</w:t>
      </w:r>
      <w:r>
        <w:rPr>
          <w:rFonts w:hint="eastAsia" w:ascii="黑体" w:hAnsi="黑体" w:eastAsia="黑体" w:cs="黑体"/>
          <w:color w:val="auto"/>
          <w:sz w:val="21"/>
          <w:szCs w:val="21"/>
          <w:highlight w:val="none"/>
          <w:lang w:val="en-US" w:eastAsia="zh-CN" w:bidi="ar-SA"/>
        </w:rPr>
        <w:fldChar w:fldCharType="end"/>
      </w:r>
      <w:r>
        <w:rPr>
          <w:rFonts w:hint="eastAsia" w:ascii="黑体" w:hAnsi="黑体" w:eastAsia="黑体" w:cs="黑体"/>
          <w:color w:val="auto"/>
          <w:sz w:val="21"/>
          <w:szCs w:val="21"/>
          <w:highlight w:val="none"/>
          <w:lang w:val="en-US" w:eastAsia="zh-CN" w:bidi="ar-SA"/>
        </w:rPr>
        <w:fldChar w:fldCharType="end"/>
      </w:r>
      <w:r/>
    </w:p>
    <w:p>
      <w:pPr>
        <w:jc w:val="both"/>
        <w:spacing w:after="0" w:line="360" w:lineRule="auto"/>
        <w:tabs>
          <w:tab w:val="right" w:pos="9692" w:leader="dot"/>
        </w:tabs>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fldChar w:fldCharType="begin"/>
      </w:r>
      <w:r>
        <w:rPr>
          <w:rFonts w:hint="eastAsia" w:ascii="黑体" w:hAnsi="黑体" w:eastAsia="黑体" w:cs="黑体"/>
          <w:color w:val="auto"/>
          <w:sz w:val="21"/>
          <w:szCs w:val="21"/>
          <w:highlight w:val="none"/>
          <w:lang w:val="en-US" w:eastAsia="zh-CN" w:bidi="ar-SA"/>
        </w:rPr>
        <w:instrText xml:space="preserve"> HYPERLINK \l "_Toc3322" </w:instrText>
      </w:r>
      <w:r>
        <w:rPr>
          <w:rFonts w:hint="eastAsia" w:ascii="黑体" w:hAnsi="黑体" w:eastAsia="黑体" w:cs="黑体"/>
          <w:color w:val="auto"/>
          <w:sz w:val="21"/>
          <w:szCs w:val="21"/>
          <w:highlight w:val="none"/>
          <w:lang w:val="en-US" w:eastAsia="zh-CN" w:bidi="ar-SA"/>
        </w:rPr>
        <w:fldChar w:fldCharType="separate"/>
      </w:r>
      <w:r>
        <w:rPr>
          <w:rFonts w:hint="eastAsia" w:ascii="黑体" w:hAnsi="黑体" w:eastAsia="黑体" w:cs="黑体"/>
          <w:color w:val="auto"/>
          <w:sz w:val="21"/>
          <w:szCs w:val="21"/>
          <w:highlight w:val="none"/>
          <w:lang w:val="en-US" w:eastAsia="zh-CN" w:bidi="ar-SA"/>
        </w:rPr>
        <w:t xml:space="preserve">第七章 评分细则</w:t>
      </w:r>
      <w:r>
        <w:rPr>
          <w:rFonts w:hint="eastAsia" w:ascii="黑体" w:hAnsi="黑体" w:eastAsia="黑体" w:cs="黑体"/>
          <w:color w:val="auto"/>
          <w:sz w:val="21"/>
          <w:szCs w:val="21"/>
          <w:highlight w:val="none"/>
          <w:lang w:val="en-US" w:eastAsia="zh-CN" w:bidi="ar-SA"/>
        </w:rPr>
        <w:tab/>
      </w:r>
      <w:r>
        <w:rPr>
          <w:rFonts w:hint="eastAsia" w:ascii="黑体" w:hAnsi="黑体" w:eastAsia="黑体" w:cs="黑体"/>
          <w:color w:val="auto"/>
          <w:sz w:val="21"/>
          <w:szCs w:val="21"/>
          <w:highlight w:val="none"/>
          <w:lang w:val="en-US" w:eastAsia="zh-CN" w:bidi="ar-SA"/>
        </w:rPr>
        <w:fldChar w:fldCharType="begin"/>
      </w:r>
      <w:r>
        <w:rPr>
          <w:rFonts w:hint="eastAsia" w:ascii="黑体" w:hAnsi="黑体" w:eastAsia="黑体" w:cs="黑体"/>
          <w:color w:val="auto"/>
          <w:sz w:val="21"/>
          <w:szCs w:val="21"/>
          <w:highlight w:val="none"/>
          <w:lang w:val="en-US" w:eastAsia="zh-CN" w:bidi="ar-SA"/>
        </w:rPr>
        <w:instrText xml:space="preserve"> PAGEREF _Toc3322 \h </w:instrText>
      </w:r>
      <w:r>
        <w:rPr>
          <w:rFonts w:hint="eastAsia" w:ascii="黑体" w:hAnsi="黑体" w:eastAsia="黑体" w:cs="黑体"/>
          <w:color w:val="auto"/>
          <w:sz w:val="21"/>
          <w:szCs w:val="21"/>
          <w:highlight w:val="none"/>
          <w:lang w:val="en-US" w:eastAsia="zh-CN" w:bidi="ar-SA"/>
        </w:rPr>
        <w:fldChar w:fldCharType="separate"/>
      </w:r>
      <w:r>
        <w:rPr>
          <w:rFonts w:hint="eastAsia" w:ascii="黑体" w:hAnsi="黑体" w:eastAsia="黑体" w:cs="黑体"/>
          <w:color w:val="auto"/>
          <w:sz w:val="21"/>
          <w:szCs w:val="21"/>
          <w:highlight w:val="none"/>
          <w:lang w:val="en-US" w:eastAsia="zh-CN" w:bidi="ar-SA"/>
        </w:rPr>
        <w:t xml:space="preserve">14</w:t>
      </w:r>
      <w:r>
        <w:rPr>
          <w:rFonts w:hint="eastAsia" w:ascii="黑体" w:hAnsi="黑体" w:eastAsia="黑体" w:cs="黑体"/>
          <w:color w:val="auto"/>
          <w:sz w:val="21"/>
          <w:szCs w:val="21"/>
          <w:highlight w:val="none"/>
          <w:lang w:val="en-US" w:eastAsia="zh-CN" w:bidi="ar-SA"/>
        </w:rPr>
        <w:fldChar w:fldCharType="end"/>
      </w:r>
      <w:r>
        <w:rPr>
          <w:rFonts w:hint="eastAsia" w:ascii="黑体" w:hAnsi="黑体" w:eastAsia="黑体" w:cs="黑体"/>
          <w:color w:val="auto"/>
          <w:sz w:val="21"/>
          <w:szCs w:val="21"/>
          <w:highlight w:val="none"/>
          <w:lang w:val="en-US" w:eastAsia="zh-CN" w:bidi="ar-SA"/>
        </w:rPr>
        <w:fldChar w:fldCharType="end"/>
      </w:r>
      <w:r/>
    </w:p>
    <w:p>
      <w:pPr>
        <w:jc w:val="both"/>
        <w:spacing w:after="0" w:line="360" w:lineRule="auto"/>
        <w:tabs>
          <w:tab w:val="right" w:pos="9692" w:leader="dot"/>
        </w:tabs>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fldChar w:fldCharType="begin"/>
      </w:r>
      <w:r>
        <w:rPr>
          <w:rFonts w:hint="eastAsia" w:ascii="黑体" w:hAnsi="黑体" w:eastAsia="黑体" w:cs="黑体"/>
          <w:color w:val="auto"/>
          <w:sz w:val="21"/>
          <w:szCs w:val="21"/>
          <w:highlight w:val="none"/>
          <w:lang w:val="en-US" w:eastAsia="zh-CN" w:bidi="ar-SA"/>
        </w:rPr>
        <w:instrText xml:space="preserve"> HYPERLINK \l "_Toc13974" </w:instrText>
      </w:r>
      <w:r>
        <w:rPr>
          <w:rFonts w:hint="eastAsia" w:ascii="黑体" w:hAnsi="黑体" w:eastAsia="黑体" w:cs="黑体"/>
          <w:color w:val="auto"/>
          <w:sz w:val="21"/>
          <w:szCs w:val="21"/>
          <w:highlight w:val="none"/>
          <w:lang w:val="en-US" w:eastAsia="zh-CN" w:bidi="ar-SA"/>
        </w:rPr>
        <w:fldChar w:fldCharType="separate"/>
      </w:r>
      <w:r>
        <w:rPr>
          <w:rFonts w:hint="eastAsia" w:ascii="黑体" w:hAnsi="黑体" w:eastAsia="黑体" w:cs="黑体"/>
          <w:color w:val="auto"/>
          <w:sz w:val="21"/>
          <w:szCs w:val="21"/>
          <w:highlight w:val="none"/>
          <w:lang w:val="en-US" w:eastAsia="zh-CN" w:bidi="ar-SA"/>
        </w:rPr>
        <w:t xml:space="preserve">第八章 项目要求（采购需求）</w:t>
      </w:r>
      <w:r>
        <w:rPr>
          <w:rFonts w:hint="eastAsia" w:ascii="黑体" w:hAnsi="黑体" w:eastAsia="黑体" w:cs="黑体"/>
          <w:color w:val="auto"/>
          <w:sz w:val="21"/>
          <w:szCs w:val="21"/>
          <w:highlight w:val="none"/>
          <w:lang w:val="en-US" w:eastAsia="zh-CN" w:bidi="ar-SA"/>
        </w:rPr>
        <w:tab/>
      </w:r>
      <w:r>
        <w:rPr>
          <w:rFonts w:hint="eastAsia" w:ascii="黑体" w:hAnsi="黑体" w:eastAsia="黑体" w:cs="黑体"/>
          <w:color w:val="auto"/>
          <w:sz w:val="21"/>
          <w:szCs w:val="21"/>
          <w:highlight w:val="none"/>
          <w:lang w:val="en-US" w:eastAsia="zh-CN" w:bidi="ar-SA"/>
        </w:rPr>
        <w:fldChar w:fldCharType="begin"/>
      </w:r>
      <w:r>
        <w:rPr>
          <w:rFonts w:hint="eastAsia" w:ascii="黑体" w:hAnsi="黑体" w:eastAsia="黑体" w:cs="黑体"/>
          <w:color w:val="auto"/>
          <w:sz w:val="21"/>
          <w:szCs w:val="21"/>
          <w:highlight w:val="none"/>
          <w:lang w:val="en-US" w:eastAsia="zh-CN" w:bidi="ar-SA"/>
        </w:rPr>
        <w:instrText xml:space="preserve"> PAGEREF _Toc13974 \h </w:instrText>
      </w:r>
      <w:r>
        <w:rPr>
          <w:rFonts w:hint="eastAsia" w:ascii="黑体" w:hAnsi="黑体" w:eastAsia="黑体" w:cs="黑体"/>
          <w:color w:val="auto"/>
          <w:sz w:val="21"/>
          <w:szCs w:val="21"/>
          <w:highlight w:val="none"/>
          <w:lang w:val="en-US" w:eastAsia="zh-CN" w:bidi="ar-SA"/>
        </w:rPr>
        <w:fldChar w:fldCharType="separate"/>
      </w:r>
      <w:r>
        <w:rPr>
          <w:rFonts w:hint="eastAsia" w:ascii="黑体" w:hAnsi="黑体" w:eastAsia="黑体" w:cs="黑体"/>
          <w:color w:val="auto"/>
          <w:sz w:val="21"/>
          <w:szCs w:val="21"/>
          <w:highlight w:val="none"/>
          <w:lang w:val="en-US" w:eastAsia="zh-CN" w:bidi="ar-SA"/>
        </w:rPr>
        <w:t xml:space="preserve">17</w:t>
      </w:r>
      <w:r>
        <w:rPr>
          <w:rFonts w:hint="eastAsia" w:ascii="黑体" w:hAnsi="黑体" w:eastAsia="黑体" w:cs="黑体"/>
          <w:color w:val="auto"/>
          <w:sz w:val="21"/>
          <w:szCs w:val="21"/>
          <w:highlight w:val="none"/>
          <w:lang w:val="en-US" w:eastAsia="zh-CN" w:bidi="ar-SA"/>
        </w:rPr>
        <w:fldChar w:fldCharType="end"/>
      </w:r>
      <w:r>
        <w:rPr>
          <w:rFonts w:hint="eastAsia" w:ascii="黑体" w:hAnsi="黑体" w:eastAsia="黑体" w:cs="黑体"/>
          <w:color w:val="auto"/>
          <w:sz w:val="21"/>
          <w:szCs w:val="21"/>
          <w:highlight w:val="none"/>
          <w:lang w:val="en-US" w:eastAsia="zh-CN" w:bidi="ar-SA"/>
        </w:rPr>
        <w:fldChar w:fldCharType="end"/>
      </w:r>
      <w:r/>
    </w:p>
    <w:p>
      <w:pPr>
        <w:jc w:val="both"/>
        <w:spacing w:after="0" w:line="360" w:lineRule="auto"/>
        <w:tabs>
          <w:tab w:val="right" w:pos="9692" w:leader="dot"/>
        </w:tabs>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fldChar w:fldCharType="begin"/>
      </w:r>
      <w:r>
        <w:rPr>
          <w:rFonts w:hint="eastAsia" w:ascii="黑体" w:hAnsi="黑体" w:eastAsia="黑体" w:cs="黑体"/>
          <w:color w:val="auto"/>
          <w:sz w:val="21"/>
          <w:szCs w:val="21"/>
          <w:highlight w:val="none"/>
          <w:lang w:val="en-US" w:eastAsia="zh-CN" w:bidi="ar-SA"/>
        </w:rPr>
        <w:instrText xml:space="preserve"> HYPERLINK \l "_Toc19254" </w:instrText>
      </w:r>
      <w:r>
        <w:rPr>
          <w:rFonts w:hint="eastAsia" w:ascii="黑体" w:hAnsi="黑体" w:eastAsia="黑体" w:cs="黑体"/>
          <w:color w:val="auto"/>
          <w:sz w:val="21"/>
          <w:szCs w:val="21"/>
          <w:highlight w:val="none"/>
          <w:lang w:val="en-US" w:eastAsia="zh-CN" w:bidi="ar-SA"/>
        </w:rPr>
        <w:fldChar w:fldCharType="separate"/>
      </w:r>
      <w:r>
        <w:rPr>
          <w:rFonts w:hint="eastAsia" w:ascii="黑体" w:hAnsi="黑体" w:eastAsia="黑体" w:cs="黑体"/>
          <w:color w:val="auto"/>
          <w:sz w:val="21"/>
          <w:szCs w:val="21"/>
          <w:highlight w:val="none"/>
          <w:lang w:val="en-US" w:eastAsia="zh-CN" w:bidi="ar-SA"/>
        </w:rPr>
        <w:t xml:space="preserve">第九章 响应文件相关格式</w:t>
      </w:r>
      <w:r>
        <w:rPr>
          <w:rFonts w:hint="eastAsia" w:ascii="黑体" w:hAnsi="黑体" w:eastAsia="黑体" w:cs="黑体"/>
          <w:color w:val="auto"/>
          <w:sz w:val="21"/>
          <w:szCs w:val="21"/>
          <w:highlight w:val="none"/>
          <w:lang w:val="en-US" w:eastAsia="zh-CN" w:bidi="ar-SA"/>
        </w:rPr>
        <w:tab/>
      </w:r>
      <w:r>
        <w:rPr>
          <w:rFonts w:hint="eastAsia" w:ascii="黑体" w:hAnsi="黑体" w:eastAsia="黑体" w:cs="黑体"/>
          <w:color w:val="auto"/>
          <w:sz w:val="21"/>
          <w:szCs w:val="21"/>
          <w:highlight w:val="none"/>
          <w:lang w:val="en-US" w:eastAsia="zh-CN" w:bidi="ar-SA"/>
        </w:rPr>
        <w:fldChar w:fldCharType="begin"/>
      </w:r>
      <w:r>
        <w:rPr>
          <w:rFonts w:hint="eastAsia" w:ascii="黑体" w:hAnsi="黑体" w:eastAsia="黑体" w:cs="黑体"/>
          <w:color w:val="auto"/>
          <w:sz w:val="21"/>
          <w:szCs w:val="21"/>
          <w:highlight w:val="none"/>
          <w:lang w:val="en-US" w:eastAsia="zh-CN" w:bidi="ar-SA"/>
        </w:rPr>
        <w:instrText xml:space="preserve"> PAGEREF _Toc19254 \h </w:instrText>
      </w:r>
      <w:r>
        <w:rPr>
          <w:rFonts w:hint="eastAsia" w:ascii="黑体" w:hAnsi="黑体" w:eastAsia="黑体" w:cs="黑体"/>
          <w:color w:val="auto"/>
          <w:sz w:val="21"/>
          <w:szCs w:val="21"/>
          <w:highlight w:val="none"/>
          <w:lang w:val="en-US" w:eastAsia="zh-CN" w:bidi="ar-SA"/>
        </w:rPr>
        <w:fldChar w:fldCharType="separate"/>
      </w:r>
      <w:r>
        <w:rPr>
          <w:rFonts w:hint="eastAsia" w:ascii="黑体" w:hAnsi="黑体" w:eastAsia="黑体" w:cs="黑体"/>
          <w:color w:val="auto"/>
          <w:sz w:val="21"/>
          <w:szCs w:val="21"/>
          <w:highlight w:val="none"/>
          <w:lang w:val="en-US" w:eastAsia="zh-CN" w:bidi="ar-SA"/>
        </w:rPr>
        <w:t xml:space="preserve">22</w:t>
      </w:r>
      <w:r>
        <w:rPr>
          <w:rFonts w:hint="eastAsia" w:ascii="黑体" w:hAnsi="黑体" w:eastAsia="黑体" w:cs="黑体"/>
          <w:color w:val="auto"/>
          <w:sz w:val="21"/>
          <w:szCs w:val="21"/>
          <w:highlight w:val="none"/>
          <w:lang w:val="en-US" w:eastAsia="zh-CN" w:bidi="ar-SA"/>
        </w:rPr>
        <w:fldChar w:fldCharType="end"/>
      </w:r>
      <w:r>
        <w:rPr>
          <w:rFonts w:hint="eastAsia" w:ascii="黑体" w:hAnsi="黑体" w:eastAsia="黑体" w:cs="黑体"/>
          <w:color w:val="auto"/>
          <w:sz w:val="21"/>
          <w:szCs w:val="21"/>
          <w:highlight w:val="none"/>
          <w:lang w:val="en-US" w:eastAsia="zh-CN" w:bidi="ar-SA"/>
        </w:rPr>
        <w:fldChar w:fldCharType="end"/>
      </w:r>
      <w:r/>
    </w:p>
    <w:p>
      <w:pPr>
        <w:ind w:left="283"/>
        <w:jc w:val="both"/>
        <w:spacing w:after="0" w:line="360" w:lineRule="auto"/>
        <w:tabs>
          <w:tab w:val="right" w:pos="9692" w:leader="dot"/>
        </w:tabs>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fldChar w:fldCharType="begin"/>
      </w:r>
      <w:r>
        <w:rPr>
          <w:rFonts w:hint="eastAsia" w:ascii="黑体" w:hAnsi="黑体" w:eastAsia="黑体" w:cs="黑体"/>
          <w:color w:val="auto"/>
          <w:sz w:val="21"/>
          <w:szCs w:val="21"/>
          <w:highlight w:val="none"/>
          <w:lang w:val="en-US" w:eastAsia="zh-CN" w:bidi="ar-SA"/>
        </w:rPr>
        <w:instrText xml:space="preserve"> HYPERLINK \l "_Toc19266" </w:instrText>
      </w:r>
      <w:r>
        <w:rPr>
          <w:rFonts w:hint="eastAsia" w:ascii="黑体" w:hAnsi="黑体" w:eastAsia="黑体" w:cs="黑体"/>
          <w:color w:val="auto"/>
          <w:sz w:val="21"/>
          <w:szCs w:val="21"/>
          <w:highlight w:val="none"/>
          <w:lang w:val="en-US" w:eastAsia="zh-CN" w:bidi="ar-SA"/>
        </w:rPr>
        <w:fldChar w:fldCharType="separate"/>
      </w:r>
      <w:r>
        <w:rPr>
          <w:rFonts w:hint="eastAsia" w:ascii="黑体" w:hAnsi="黑体" w:eastAsia="黑体" w:cs="黑体"/>
          <w:color w:val="auto"/>
          <w:sz w:val="21"/>
          <w:szCs w:val="21"/>
          <w:highlight w:val="none"/>
          <w:lang w:val="en-US" w:eastAsia="zh-CN" w:bidi="ar-SA"/>
        </w:rPr>
        <w:t xml:space="preserve">一、承诺书</w:t>
      </w:r>
      <w:r>
        <w:rPr>
          <w:rFonts w:hint="eastAsia" w:ascii="黑体" w:hAnsi="黑体" w:eastAsia="黑体" w:cs="黑体"/>
          <w:color w:val="auto"/>
          <w:sz w:val="21"/>
          <w:szCs w:val="21"/>
          <w:highlight w:val="none"/>
          <w:lang w:val="en-US" w:eastAsia="zh-CN" w:bidi="ar-SA"/>
        </w:rPr>
        <w:tab/>
      </w:r>
      <w:r>
        <w:rPr>
          <w:rFonts w:hint="eastAsia" w:ascii="黑体" w:hAnsi="黑体" w:eastAsia="黑体" w:cs="黑体"/>
          <w:color w:val="auto"/>
          <w:sz w:val="21"/>
          <w:szCs w:val="21"/>
          <w:highlight w:val="none"/>
          <w:lang w:val="en-US" w:eastAsia="zh-CN" w:bidi="ar-SA"/>
        </w:rPr>
        <w:fldChar w:fldCharType="begin"/>
      </w:r>
      <w:r>
        <w:rPr>
          <w:rFonts w:hint="eastAsia" w:ascii="黑体" w:hAnsi="黑体" w:eastAsia="黑体" w:cs="黑体"/>
          <w:color w:val="auto"/>
          <w:sz w:val="21"/>
          <w:szCs w:val="21"/>
          <w:highlight w:val="none"/>
          <w:lang w:val="en-US" w:eastAsia="zh-CN" w:bidi="ar-SA"/>
        </w:rPr>
        <w:instrText xml:space="preserve"> PAGEREF _Toc19266 \h </w:instrText>
      </w:r>
      <w:r>
        <w:rPr>
          <w:rFonts w:hint="eastAsia" w:ascii="黑体" w:hAnsi="黑体" w:eastAsia="黑体" w:cs="黑体"/>
          <w:color w:val="auto"/>
          <w:sz w:val="21"/>
          <w:szCs w:val="21"/>
          <w:highlight w:val="none"/>
          <w:lang w:val="en-US" w:eastAsia="zh-CN" w:bidi="ar-SA"/>
        </w:rPr>
        <w:fldChar w:fldCharType="separate"/>
      </w:r>
      <w:r>
        <w:rPr>
          <w:rFonts w:hint="eastAsia" w:ascii="黑体" w:hAnsi="黑体" w:eastAsia="黑体" w:cs="黑体"/>
          <w:color w:val="auto"/>
          <w:sz w:val="21"/>
          <w:szCs w:val="21"/>
          <w:highlight w:val="none"/>
          <w:lang w:val="en-US" w:eastAsia="zh-CN" w:bidi="ar-SA"/>
        </w:rPr>
        <w:t xml:space="preserve">23</w:t>
      </w:r>
      <w:r>
        <w:rPr>
          <w:rFonts w:hint="eastAsia" w:ascii="黑体" w:hAnsi="黑体" w:eastAsia="黑体" w:cs="黑体"/>
          <w:color w:val="auto"/>
          <w:sz w:val="21"/>
          <w:szCs w:val="21"/>
          <w:highlight w:val="none"/>
          <w:lang w:val="en-US" w:eastAsia="zh-CN" w:bidi="ar-SA"/>
        </w:rPr>
        <w:fldChar w:fldCharType="end"/>
      </w:r>
      <w:r>
        <w:rPr>
          <w:rFonts w:hint="eastAsia" w:ascii="黑体" w:hAnsi="黑体" w:eastAsia="黑体" w:cs="黑体"/>
          <w:color w:val="auto"/>
          <w:sz w:val="21"/>
          <w:szCs w:val="21"/>
          <w:highlight w:val="none"/>
          <w:lang w:val="en-US" w:eastAsia="zh-CN" w:bidi="ar-SA"/>
        </w:rPr>
        <w:fldChar w:fldCharType="end"/>
      </w:r>
      <w:r/>
    </w:p>
    <w:p>
      <w:pPr>
        <w:ind w:left="283"/>
        <w:jc w:val="both"/>
        <w:spacing w:after="0" w:line="360" w:lineRule="auto"/>
        <w:tabs>
          <w:tab w:val="right" w:pos="9692" w:leader="dot"/>
        </w:tabs>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fldChar w:fldCharType="begin"/>
      </w:r>
      <w:r>
        <w:rPr>
          <w:rFonts w:hint="eastAsia" w:ascii="黑体" w:hAnsi="黑体" w:eastAsia="黑体" w:cs="黑体"/>
          <w:color w:val="auto"/>
          <w:sz w:val="21"/>
          <w:szCs w:val="21"/>
          <w:highlight w:val="none"/>
          <w:lang w:val="en-US" w:eastAsia="zh-CN" w:bidi="ar-SA"/>
        </w:rPr>
        <w:instrText xml:space="preserve"> HYPERLINK \l "_Toc21194" </w:instrText>
      </w:r>
      <w:r>
        <w:rPr>
          <w:rFonts w:hint="eastAsia" w:ascii="黑体" w:hAnsi="黑体" w:eastAsia="黑体" w:cs="黑体"/>
          <w:color w:val="auto"/>
          <w:sz w:val="21"/>
          <w:szCs w:val="21"/>
          <w:highlight w:val="none"/>
          <w:lang w:val="en-US" w:eastAsia="zh-CN" w:bidi="ar-SA"/>
        </w:rPr>
        <w:fldChar w:fldCharType="separate"/>
      </w:r>
      <w:r>
        <w:rPr>
          <w:rFonts w:hint="eastAsia" w:ascii="黑体" w:hAnsi="黑体" w:eastAsia="黑体" w:cs="黑体"/>
          <w:bCs/>
          <w:color w:val="auto"/>
          <w:sz w:val="21"/>
          <w:szCs w:val="21"/>
          <w:highlight w:val="none"/>
          <w:lang w:val="en-US" w:eastAsia="zh-CN" w:bidi="ar-SA"/>
        </w:rPr>
        <w:t xml:space="preserve">二、磋商报价表</w:t>
      </w:r>
      <w:r>
        <w:rPr>
          <w:rFonts w:hint="eastAsia" w:ascii="黑体" w:hAnsi="黑体" w:eastAsia="黑体" w:cs="黑体"/>
          <w:color w:val="auto"/>
          <w:sz w:val="21"/>
          <w:szCs w:val="21"/>
          <w:highlight w:val="none"/>
          <w:lang w:val="en-US" w:eastAsia="zh-CN" w:bidi="ar-SA"/>
        </w:rPr>
        <w:tab/>
      </w:r>
      <w:r>
        <w:rPr>
          <w:rFonts w:hint="eastAsia" w:ascii="黑体" w:hAnsi="黑体" w:eastAsia="黑体" w:cs="黑体"/>
          <w:color w:val="auto"/>
          <w:sz w:val="21"/>
          <w:szCs w:val="21"/>
          <w:highlight w:val="none"/>
          <w:lang w:val="en-US" w:eastAsia="zh-CN" w:bidi="ar-SA"/>
        </w:rPr>
        <w:fldChar w:fldCharType="begin"/>
      </w:r>
      <w:r>
        <w:rPr>
          <w:rFonts w:hint="eastAsia" w:ascii="黑体" w:hAnsi="黑体" w:eastAsia="黑体" w:cs="黑体"/>
          <w:color w:val="auto"/>
          <w:sz w:val="21"/>
          <w:szCs w:val="21"/>
          <w:highlight w:val="none"/>
          <w:lang w:val="en-US" w:eastAsia="zh-CN" w:bidi="ar-SA"/>
        </w:rPr>
        <w:instrText xml:space="preserve"> PAGEREF _Toc21194 \h </w:instrText>
      </w:r>
      <w:r>
        <w:rPr>
          <w:rFonts w:hint="eastAsia" w:ascii="黑体" w:hAnsi="黑体" w:eastAsia="黑体" w:cs="黑体"/>
          <w:color w:val="auto"/>
          <w:sz w:val="21"/>
          <w:szCs w:val="21"/>
          <w:highlight w:val="none"/>
          <w:lang w:val="en-US" w:eastAsia="zh-CN" w:bidi="ar-SA"/>
        </w:rPr>
        <w:fldChar w:fldCharType="separate"/>
      </w:r>
      <w:r>
        <w:rPr>
          <w:rFonts w:hint="eastAsia" w:ascii="黑体" w:hAnsi="黑体" w:eastAsia="黑体" w:cs="黑体"/>
          <w:color w:val="auto"/>
          <w:sz w:val="21"/>
          <w:szCs w:val="21"/>
          <w:highlight w:val="none"/>
          <w:lang w:val="en-US" w:eastAsia="zh-CN" w:bidi="ar-SA"/>
        </w:rPr>
        <w:t xml:space="preserve">24</w:t>
      </w:r>
      <w:r>
        <w:rPr>
          <w:rFonts w:hint="eastAsia" w:ascii="黑体" w:hAnsi="黑体" w:eastAsia="黑体" w:cs="黑体"/>
          <w:color w:val="auto"/>
          <w:sz w:val="21"/>
          <w:szCs w:val="21"/>
          <w:highlight w:val="none"/>
          <w:lang w:val="en-US" w:eastAsia="zh-CN" w:bidi="ar-SA"/>
        </w:rPr>
        <w:fldChar w:fldCharType="end"/>
      </w:r>
      <w:r>
        <w:rPr>
          <w:rFonts w:hint="eastAsia" w:ascii="黑体" w:hAnsi="黑体" w:eastAsia="黑体" w:cs="黑体"/>
          <w:color w:val="auto"/>
          <w:sz w:val="21"/>
          <w:szCs w:val="21"/>
          <w:highlight w:val="none"/>
          <w:lang w:val="en-US" w:eastAsia="zh-CN" w:bidi="ar-SA"/>
        </w:rPr>
        <w:fldChar w:fldCharType="end"/>
      </w:r>
      <w:r/>
    </w:p>
    <w:p>
      <w:pPr>
        <w:ind w:left="283"/>
        <w:jc w:val="both"/>
        <w:spacing w:after="0" w:line="360" w:lineRule="auto"/>
        <w:tabs>
          <w:tab w:val="right" w:pos="9692" w:leader="dot"/>
        </w:tabs>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fldChar w:fldCharType="begin"/>
      </w:r>
      <w:r>
        <w:rPr>
          <w:rFonts w:hint="eastAsia" w:ascii="黑体" w:hAnsi="黑体" w:eastAsia="黑体" w:cs="黑体"/>
          <w:color w:val="auto"/>
          <w:sz w:val="21"/>
          <w:szCs w:val="21"/>
          <w:highlight w:val="none"/>
          <w:lang w:val="en-US" w:eastAsia="zh-CN" w:bidi="ar-SA"/>
        </w:rPr>
        <w:instrText xml:space="preserve"> HYPERLINK \l "_Toc19902" </w:instrText>
      </w:r>
      <w:r>
        <w:rPr>
          <w:rFonts w:hint="eastAsia" w:ascii="黑体" w:hAnsi="黑体" w:eastAsia="黑体" w:cs="黑体"/>
          <w:color w:val="auto"/>
          <w:sz w:val="21"/>
          <w:szCs w:val="21"/>
          <w:highlight w:val="none"/>
          <w:lang w:val="en-US" w:eastAsia="zh-CN" w:bidi="ar-SA"/>
        </w:rPr>
        <w:fldChar w:fldCharType="separate"/>
      </w:r>
      <w:r>
        <w:rPr>
          <w:rFonts w:hint="eastAsia" w:ascii="黑体" w:hAnsi="黑体" w:eastAsia="黑体" w:cs="黑体"/>
          <w:color w:val="auto"/>
          <w:sz w:val="21"/>
          <w:szCs w:val="21"/>
          <w:highlight w:val="none"/>
          <w:lang w:val="en-US" w:eastAsia="zh-CN" w:bidi="ar-SA"/>
        </w:rPr>
        <w:t xml:space="preserve">三、投标承诺书</w:t>
      </w:r>
      <w:r>
        <w:rPr>
          <w:rFonts w:hint="eastAsia" w:ascii="黑体" w:hAnsi="黑体" w:eastAsia="黑体" w:cs="黑体"/>
          <w:color w:val="auto"/>
          <w:sz w:val="21"/>
          <w:szCs w:val="21"/>
          <w:highlight w:val="none"/>
          <w:lang w:val="en-US" w:eastAsia="zh-CN" w:bidi="ar-SA"/>
        </w:rPr>
        <w:tab/>
      </w:r>
      <w:r>
        <w:rPr>
          <w:rFonts w:hint="eastAsia" w:ascii="黑体" w:hAnsi="黑体" w:eastAsia="黑体" w:cs="黑体"/>
          <w:color w:val="auto"/>
          <w:sz w:val="21"/>
          <w:szCs w:val="21"/>
          <w:highlight w:val="none"/>
          <w:lang w:val="en-US" w:eastAsia="zh-CN" w:bidi="ar-SA"/>
        </w:rPr>
        <w:fldChar w:fldCharType="begin"/>
      </w:r>
      <w:r>
        <w:rPr>
          <w:rFonts w:hint="eastAsia" w:ascii="黑体" w:hAnsi="黑体" w:eastAsia="黑体" w:cs="黑体"/>
          <w:color w:val="auto"/>
          <w:sz w:val="21"/>
          <w:szCs w:val="21"/>
          <w:highlight w:val="none"/>
          <w:lang w:val="en-US" w:eastAsia="zh-CN" w:bidi="ar-SA"/>
        </w:rPr>
        <w:instrText xml:space="preserve"> PAGEREF _Toc19902 \h </w:instrText>
      </w:r>
      <w:r>
        <w:rPr>
          <w:rFonts w:hint="eastAsia" w:ascii="黑体" w:hAnsi="黑体" w:eastAsia="黑体" w:cs="黑体"/>
          <w:color w:val="auto"/>
          <w:sz w:val="21"/>
          <w:szCs w:val="21"/>
          <w:highlight w:val="none"/>
          <w:lang w:val="en-US" w:eastAsia="zh-CN" w:bidi="ar-SA"/>
        </w:rPr>
        <w:fldChar w:fldCharType="separate"/>
      </w:r>
      <w:r>
        <w:rPr>
          <w:rFonts w:hint="eastAsia" w:ascii="黑体" w:hAnsi="黑体" w:eastAsia="黑体" w:cs="黑体"/>
          <w:color w:val="auto"/>
          <w:sz w:val="21"/>
          <w:szCs w:val="21"/>
          <w:highlight w:val="none"/>
          <w:lang w:val="en-US" w:eastAsia="zh-CN" w:bidi="ar-SA"/>
        </w:rPr>
        <w:t xml:space="preserve">25</w:t>
      </w:r>
      <w:r>
        <w:rPr>
          <w:rFonts w:hint="eastAsia" w:ascii="黑体" w:hAnsi="黑体" w:eastAsia="黑体" w:cs="黑体"/>
          <w:color w:val="auto"/>
          <w:sz w:val="21"/>
          <w:szCs w:val="21"/>
          <w:highlight w:val="none"/>
          <w:lang w:val="en-US" w:eastAsia="zh-CN" w:bidi="ar-SA"/>
        </w:rPr>
        <w:fldChar w:fldCharType="end"/>
      </w:r>
      <w:r>
        <w:rPr>
          <w:rFonts w:hint="eastAsia" w:ascii="黑体" w:hAnsi="黑体" w:eastAsia="黑体" w:cs="黑体"/>
          <w:color w:val="auto"/>
          <w:sz w:val="21"/>
          <w:szCs w:val="21"/>
          <w:highlight w:val="none"/>
          <w:lang w:val="en-US" w:eastAsia="zh-CN" w:bidi="ar-SA"/>
        </w:rPr>
        <w:fldChar w:fldCharType="end"/>
      </w:r>
      <w:r/>
    </w:p>
    <w:p>
      <w:pPr>
        <w:ind w:left="283"/>
        <w:jc w:val="both"/>
        <w:spacing w:after="0" w:line="360" w:lineRule="auto"/>
        <w:tabs>
          <w:tab w:val="right" w:pos="9692" w:leader="dot"/>
        </w:tabs>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fldChar w:fldCharType="begin"/>
      </w:r>
      <w:r>
        <w:rPr>
          <w:rFonts w:hint="eastAsia" w:ascii="黑体" w:hAnsi="黑体" w:eastAsia="黑体" w:cs="黑体"/>
          <w:color w:val="auto"/>
          <w:sz w:val="21"/>
          <w:szCs w:val="21"/>
          <w:highlight w:val="none"/>
          <w:lang w:val="en-US" w:eastAsia="zh-CN" w:bidi="ar-SA"/>
        </w:rPr>
        <w:instrText xml:space="preserve"> HYPERLINK \l "_Toc32621" </w:instrText>
      </w:r>
      <w:r>
        <w:rPr>
          <w:rFonts w:hint="eastAsia" w:ascii="黑体" w:hAnsi="黑体" w:eastAsia="黑体" w:cs="黑体"/>
          <w:color w:val="auto"/>
          <w:sz w:val="21"/>
          <w:szCs w:val="21"/>
          <w:highlight w:val="none"/>
          <w:lang w:val="en-US" w:eastAsia="zh-CN" w:bidi="ar-SA"/>
        </w:rPr>
        <w:fldChar w:fldCharType="separate"/>
      </w:r>
      <w:r>
        <w:rPr>
          <w:rFonts w:hint="eastAsia" w:ascii="黑体" w:hAnsi="黑体" w:eastAsia="黑体" w:cs="黑体"/>
          <w:bCs/>
          <w:color w:val="auto"/>
          <w:sz w:val="21"/>
          <w:szCs w:val="32"/>
          <w:highlight w:val="none"/>
          <w:lang w:val="en-US" w:eastAsia="zh-CN" w:bidi="ar-SA"/>
        </w:rPr>
        <w:t xml:space="preserve">四、偏离表</w:t>
      </w:r>
      <w:r>
        <w:rPr>
          <w:rFonts w:hint="eastAsia" w:ascii="黑体" w:hAnsi="黑体" w:eastAsia="黑体" w:cs="黑体"/>
          <w:color w:val="auto"/>
          <w:sz w:val="21"/>
          <w:szCs w:val="21"/>
          <w:highlight w:val="none"/>
          <w:lang w:val="en-US" w:eastAsia="zh-CN" w:bidi="ar-SA"/>
        </w:rPr>
        <w:tab/>
      </w:r>
      <w:r>
        <w:rPr>
          <w:rFonts w:hint="eastAsia" w:ascii="黑体" w:hAnsi="黑体" w:eastAsia="黑体" w:cs="黑体"/>
          <w:color w:val="auto"/>
          <w:sz w:val="21"/>
          <w:szCs w:val="21"/>
          <w:highlight w:val="none"/>
          <w:lang w:val="en-US" w:eastAsia="zh-CN" w:bidi="ar-SA"/>
        </w:rPr>
        <w:fldChar w:fldCharType="begin"/>
      </w:r>
      <w:r>
        <w:rPr>
          <w:rFonts w:hint="eastAsia" w:ascii="黑体" w:hAnsi="黑体" w:eastAsia="黑体" w:cs="黑体"/>
          <w:color w:val="auto"/>
          <w:sz w:val="21"/>
          <w:szCs w:val="21"/>
          <w:highlight w:val="none"/>
          <w:lang w:val="en-US" w:eastAsia="zh-CN" w:bidi="ar-SA"/>
        </w:rPr>
        <w:instrText xml:space="preserve"> PAGEREF _Toc32621 \h </w:instrText>
      </w:r>
      <w:r>
        <w:rPr>
          <w:rFonts w:hint="eastAsia" w:ascii="黑体" w:hAnsi="黑体" w:eastAsia="黑体" w:cs="黑体"/>
          <w:color w:val="auto"/>
          <w:sz w:val="21"/>
          <w:szCs w:val="21"/>
          <w:highlight w:val="none"/>
          <w:lang w:val="en-US" w:eastAsia="zh-CN" w:bidi="ar-SA"/>
        </w:rPr>
        <w:fldChar w:fldCharType="separate"/>
      </w:r>
      <w:r>
        <w:rPr>
          <w:rFonts w:hint="eastAsia" w:ascii="黑体" w:hAnsi="黑体" w:eastAsia="黑体" w:cs="黑体"/>
          <w:color w:val="auto"/>
          <w:sz w:val="21"/>
          <w:szCs w:val="21"/>
          <w:highlight w:val="none"/>
          <w:lang w:val="en-US" w:eastAsia="zh-CN" w:bidi="ar-SA"/>
        </w:rPr>
        <w:t xml:space="preserve">26</w:t>
      </w:r>
      <w:r>
        <w:rPr>
          <w:rFonts w:hint="eastAsia" w:ascii="黑体" w:hAnsi="黑体" w:eastAsia="黑体" w:cs="黑体"/>
          <w:color w:val="auto"/>
          <w:sz w:val="21"/>
          <w:szCs w:val="21"/>
          <w:highlight w:val="none"/>
          <w:lang w:val="en-US" w:eastAsia="zh-CN" w:bidi="ar-SA"/>
        </w:rPr>
        <w:fldChar w:fldCharType="end"/>
      </w:r>
      <w:r>
        <w:rPr>
          <w:rFonts w:hint="eastAsia" w:ascii="黑体" w:hAnsi="黑体" w:eastAsia="黑体" w:cs="黑体"/>
          <w:color w:val="auto"/>
          <w:sz w:val="21"/>
          <w:szCs w:val="21"/>
          <w:highlight w:val="none"/>
          <w:lang w:val="en-US" w:eastAsia="zh-CN" w:bidi="ar-SA"/>
        </w:rPr>
        <w:fldChar w:fldCharType="end"/>
      </w:r>
      <w:r/>
    </w:p>
    <w:p>
      <w:pPr>
        <w:ind w:left="283"/>
        <w:jc w:val="both"/>
        <w:spacing w:after="0" w:line="360" w:lineRule="auto"/>
        <w:tabs>
          <w:tab w:val="right" w:pos="9692" w:leader="dot"/>
        </w:tabs>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fldChar w:fldCharType="begin"/>
      </w:r>
      <w:r>
        <w:rPr>
          <w:rFonts w:hint="eastAsia" w:ascii="黑体" w:hAnsi="黑体" w:eastAsia="黑体" w:cs="黑体"/>
          <w:color w:val="auto"/>
          <w:sz w:val="21"/>
          <w:szCs w:val="21"/>
          <w:highlight w:val="none"/>
          <w:lang w:val="en-US" w:eastAsia="zh-CN" w:bidi="ar-SA"/>
        </w:rPr>
        <w:instrText xml:space="preserve"> HYPERLINK \l "_Toc15659" </w:instrText>
      </w:r>
      <w:r>
        <w:rPr>
          <w:rFonts w:hint="eastAsia" w:ascii="黑体" w:hAnsi="黑体" w:eastAsia="黑体" w:cs="黑体"/>
          <w:color w:val="auto"/>
          <w:sz w:val="21"/>
          <w:szCs w:val="21"/>
          <w:highlight w:val="none"/>
          <w:lang w:val="en-US" w:eastAsia="zh-CN" w:bidi="ar-SA"/>
        </w:rPr>
        <w:fldChar w:fldCharType="separate"/>
      </w:r>
      <w:r>
        <w:rPr>
          <w:rFonts w:hint="eastAsia" w:ascii="黑体" w:hAnsi="黑体" w:eastAsia="黑体" w:cs="黑体"/>
          <w:color w:val="auto"/>
          <w:sz w:val="21"/>
          <w:szCs w:val="21"/>
          <w:highlight w:val="none"/>
          <w:lang w:val="en-US" w:eastAsia="zh-CN" w:bidi="ar-SA"/>
        </w:rPr>
        <w:t xml:space="preserve">五、授权委托书</w:t>
      </w:r>
      <w:r>
        <w:rPr>
          <w:rFonts w:hint="eastAsia" w:ascii="黑体" w:hAnsi="黑体" w:eastAsia="黑体" w:cs="黑体"/>
          <w:color w:val="auto"/>
          <w:sz w:val="21"/>
          <w:szCs w:val="21"/>
          <w:highlight w:val="none"/>
          <w:lang w:val="en-US" w:eastAsia="zh-CN" w:bidi="ar-SA"/>
        </w:rPr>
        <w:tab/>
      </w:r>
      <w:r>
        <w:rPr>
          <w:rFonts w:hint="eastAsia" w:ascii="黑体" w:hAnsi="黑体" w:eastAsia="黑体" w:cs="黑体"/>
          <w:color w:val="auto"/>
          <w:sz w:val="21"/>
          <w:szCs w:val="21"/>
          <w:highlight w:val="none"/>
          <w:lang w:val="en-US" w:eastAsia="zh-CN" w:bidi="ar-SA"/>
        </w:rPr>
        <w:fldChar w:fldCharType="begin"/>
      </w:r>
      <w:r>
        <w:rPr>
          <w:rFonts w:hint="eastAsia" w:ascii="黑体" w:hAnsi="黑体" w:eastAsia="黑体" w:cs="黑体"/>
          <w:color w:val="auto"/>
          <w:sz w:val="21"/>
          <w:szCs w:val="21"/>
          <w:highlight w:val="none"/>
          <w:lang w:val="en-US" w:eastAsia="zh-CN" w:bidi="ar-SA"/>
        </w:rPr>
        <w:instrText xml:space="preserve"> PAGEREF _Toc15659 \h </w:instrText>
      </w:r>
      <w:r>
        <w:rPr>
          <w:rFonts w:hint="eastAsia" w:ascii="黑体" w:hAnsi="黑体" w:eastAsia="黑体" w:cs="黑体"/>
          <w:color w:val="auto"/>
          <w:sz w:val="21"/>
          <w:szCs w:val="21"/>
          <w:highlight w:val="none"/>
          <w:lang w:val="en-US" w:eastAsia="zh-CN" w:bidi="ar-SA"/>
        </w:rPr>
        <w:fldChar w:fldCharType="separate"/>
      </w:r>
      <w:r>
        <w:rPr>
          <w:rFonts w:hint="eastAsia" w:ascii="黑体" w:hAnsi="黑体" w:eastAsia="黑体" w:cs="黑体"/>
          <w:color w:val="auto"/>
          <w:sz w:val="21"/>
          <w:szCs w:val="21"/>
          <w:highlight w:val="none"/>
          <w:lang w:val="en-US" w:eastAsia="zh-CN" w:bidi="ar-SA"/>
        </w:rPr>
        <w:t xml:space="preserve">27</w:t>
      </w:r>
      <w:r>
        <w:rPr>
          <w:rFonts w:hint="eastAsia" w:ascii="黑体" w:hAnsi="黑体" w:eastAsia="黑体" w:cs="黑体"/>
          <w:color w:val="auto"/>
          <w:sz w:val="21"/>
          <w:szCs w:val="21"/>
          <w:highlight w:val="none"/>
          <w:lang w:val="en-US" w:eastAsia="zh-CN" w:bidi="ar-SA"/>
        </w:rPr>
        <w:fldChar w:fldCharType="end"/>
      </w:r>
      <w:r>
        <w:rPr>
          <w:rFonts w:hint="eastAsia" w:ascii="黑体" w:hAnsi="黑体" w:eastAsia="黑体" w:cs="黑体"/>
          <w:color w:val="auto"/>
          <w:sz w:val="21"/>
          <w:szCs w:val="21"/>
          <w:highlight w:val="none"/>
          <w:lang w:val="en-US" w:eastAsia="zh-CN" w:bidi="ar-SA"/>
        </w:rPr>
        <w:fldChar w:fldCharType="end"/>
      </w:r>
      <w:r/>
    </w:p>
    <w:p>
      <w:pPr>
        <w:ind w:left="283"/>
        <w:jc w:val="both"/>
        <w:spacing w:after="0" w:line="360" w:lineRule="auto"/>
        <w:tabs>
          <w:tab w:val="right" w:pos="9692" w:leader="dot"/>
        </w:tabs>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fldChar w:fldCharType="begin"/>
      </w:r>
      <w:r>
        <w:rPr>
          <w:rFonts w:hint="eastAsia" w:ascii="黑体" w:hAnsi="黑体" w:eastAsia="黑体" w:cs="黑体"/>
          <w:color w:val="auto"/>
          <w:sz w:val="21"/>
          <w:szCs w:val="21"/>
          <w:highlight w:val="none"/>
          <w:lang w:val="en-US" w:eastAsia="zh-CN" w:bidi="ar-SA"/>
        </w:rPr>
        <w:instrText xml:space="preserve"> HYPERLINK \l "_Toc7229" </w:instrText>
      </w:r>
      <w:r>
        <w:rPr>
          <w:rFonts w:hint="eastAsia" w:ascii="黑体" w:hAnsi="黑体" w:eastAsia="黑体" w:cs="黑体"/>
          <w:color w:val="auto"/>
          <w:sz w:val="21"/>
          <w:szCs w:val="21"/>
          <w:highlight w:val="none"/>
          <w:lang w:val="en-US" w:eastAsia="zh-CN" w:bidi="ar-SA"/>
        </w:rPr>
        <w:fldChar w:fldCharType="separate"/>
      </w:r>
      <w:r>
        <w:rPr>
          <w:rFonts w:hint="eastAsia" w:ascii="黑体" w:hAnsi="黑体" w:eastAsia="黑体" w:cs="黑体"/>
          <w:color w:val="auto"/>
          <w:sz w:val="21"/>
          <w:szCs w:val="21"/>
          <w:highlight w:val="none"/>
          <w:lang w:val="en-US" w:eastAsia="zh-CN" w:bidi="ar-SA"/>
        </w:rPr>
        <w:t xml:space="preserve">六、中小企业声明函</w:t>
      </w:r>
      <w:r>
        <w:rPr>
          <w:rFonts w:hint="eastAsia" w:ascii="黑体" w:hAnsi="黑体" w:eastAsia="黑体" w:cs="黑体"/>
          <w:color w:val="auto"/>
          <w:sz w:val="21"/>
          <w:szCs w:val="21"/>
          <w:highlight w:val="none"/>
          <w:lang w:val="en-US" w:eastAsia="zh-CN" w:bidi="ar-SA"/>
        </w:rPr>
        <w:tab/>
      </w:r>
      <w:r>
        <w:rPr>
          <w:rFonts w:hint="eastAsia" w:ascii="黑体" w:hAnsi="黑体" w:eastAsia="黑体" w:cs="黑体"/>
          <w:color w:val="auto"/>
          <w:sz w:val="21"/>
          <w:szCs w:val="21"/>
          <w:highlight w:val="none"/>
          <w:lang w:val="en-US" w:eastAsia="zh-CN" w:bidi="ar-SA"/>
        </w:rPr>
        <w:fldChar w:fldCharType="begin"/>
      </w:r>
      <w:r>
        <w:rPr>
          <w:rFonts w:hint="eastAsia" w:ascii="黑体" w:hAnsi="黑体" w:eastAsia="黑体" w:cs="黑体"/>
          <w:color w:val="auto"/>
          <w:sz w:val="21"/>
          <w:szCs w:val="21"/>
          <w:highlight w:val="none"/>
          <w:lang w:val="en-US" w:eastAsia="zh-CN" w:bidi="ar-SA"/>
        </w:rPr>
        <w:instrText xml:space="preserve"> PAGEREF _Toc7229 \h </w:instrText>
      </w:r>
      <w:r>
        <w:rPr>
          <w:rFonts w:hint="eastAsia" w:ascii="黑体" w:hAnsi="黑体" w:eastAsia="黑体" w:cs="黑体"/>
          <w:color w:val="auto"/>
          <w:sz w:val="21"/>
          <w:szCs w:val="21"/>
          <w:highlight w:val="none"/>
          <w:lang w:val="en-US" w:eastAsia="zh-CN" w:bidi="ar-SA"/>
        </w:rPr>
        <w:fldChar w:fldCharType="separate"/>
      </w:r>
      <w:r>
        <w:rPr>
          <w:rFonts w:hint="eastAsia" w:ascii="黑体" w:hAnsi="黑体" w:eastAsia="黑体" w:cs="黑体"/>
          <w:color w:val="auto"/>
          <w:sz w:val="21"/>
          <w:szCs w:val="21"/>
          <w:highlight w:val="none"/>
          <w:lang w:val="en-US" w:eastAsia="zh-CN" w:bidi="ar-SA"/>
        </w:rPr>
        <w:t xml:space="preserve">28</w:t>
      </w:r>
      <w:r>
        <w:rPr>
          <w:rFonts w:hint="eastAsia" w:ascii="黑体" w:hAnsi="黑体" w:eastAsia="黑体" w:cs="黑体"/>
          <w:color w:val="auto"/>
          <w:sz w:val="21"/>
          <w:szCs w:val="21"/>
          <w:highlight w:val="none"/>
          <w:lang w:val="en-US" w:eastAsia="zh-CN" w:bidi="ar-SA"/>
        </w:rPr>
        <w:fldChar w:fldCharType="end"/>
      </w:r>
      <w:r>
        <w:rPr>
          <w:rFonts w:hint="eastAsia" w:ascii="黑体" w:hAnsi="黑体" w:eastAsia="黑体" w:cs="黑体"/>
          <w:color w:val="auto"/>
          <w:sz w:val="21"/>
          <w:szCs w:val="21"/>
          <w:highlight w:val="none"/>
          <w:lang w:val="en-US" w:eastAsia="zh-CN" w:bidi="ar-SA"/>
        </w:rPr>
        <w:fldChar w:fldCharType="end"/>
      </w:r>
      <w:r/>
    </w:p>
    <w:p>
      <w:pPr>
        <w:ind w:left="283"/>
        <w:jc w:val="both"/>
        <w:spacing w:after="0" w:line="360" w:lineRule="auto"/>
        <w:tabs>
          <w:tab w:val="right" w:pos="9692" w:leader="dot"/>
        </w:tabs>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fldChar w:fldCharType="begin"/>
      </w:r>
      <w:r>
        <w:rPr>
          <w:rFonts w:hint="eastAsia" w:ascii="黑体" w:hAnsi="黑体" w:eastAsia="黑体" w:cs="黑体"/>
          <w:color w:val="auto"/>
          <w:sz w:val="21"/>
          <w:szCs w:val="21"/>
          <w:highlight w:val="none"/>
          <w:lang w:val="en-US" w:eastAsia="zh-CN" w:bidi="ar-SA"/>
        </w:rPr>
        <w:instrText xml:space="preserve"> HYPERLINK \l "_Toc17432" </w:instrText>
      </w:r>
      <w:r>
        <w:rPr>
          <w:rFonts w:hint="eastAsia" w:ascii="黑体" w:hAnsi="黑体" w:eastAsia="黑体" w:cs="黑体"/>
          <w:color w:val="auto"/>
          <w:sz w:val="21"/>
          <w:szCs w:val="21"/>
          <w:highlight w:val="none"/>
          <w:lang w:val="en-US" w:eastAsia="zh-CN" w:bidi="ar-SA"/>
        </w:rPr>
        <w:fldChar w:fldCharType="separate"/>
      </w:r>
      <w:r>
        <w:rPr>
          <w:rFonts w:hint="eastAsia" w:ascii="黑体" w:hAnsi="黑体" w:eastAsia="黑体" w:cs="黑体"/>
          <w:bCs/>
          <w:color w:val="auto"/>
          <w:sz w:val="21"/>
          <w:szCs w:val="21"/>
          <w:highlight w:val="none"/>
          <w:lang w:val="en-US" w:eastAsia="zh-CN" w:bidi="ar-SA"/>
        </w:rPr>
        <w:t xml:space="preserve">七、残疾人福利性单位声明函</w:t>
      </w:r>
      <w:r>
        <w:rPr>
          <w:rFonts w:hint="eastAsia" w:ascii="黑体" w:hAnsi="黑体" w:eastAsia="黑体" w:cs="黑体"/>
          <w:color w:val="auto"/>
          <w:sz w:val="21"/>
          <w:szCs w:val="21"/>
          <w:highlight w:val="none"/>
          <w:lang w:val="en-US" w:eastAsia="zh-CN" w:bidi="ar-SA"/>
        </w:rPr>
        <w:tab/>
      </w:r>
      <w:r>
        <w:rPr>
          <w:rFonts w:hint="eastAsia" w:ascii="黑体" w:hAnsi="黑体" w:eastAsia="黑体" w:cs="黑体"/>
          <w:color w:val="auto"/>
          <w:sz w:val="21"/>
          <w:szCs w:val="21"/>
          <w:highlight w:val="none"/>
          <w:lang w:val="en-US" w:eastAsia="zh-CN" w:bidi="ar-SA"/>
        </w:rPr>
        <w:fldChar w:fldCharType="begin"/>
      </w:r>
      <w:r>
        <w:rPr>
          <w:rFonts w:hint="eastAsia" w:ascii="黑体" w:hAnsi="黑体" w:eastAsia="黑体" w:cs="黑体"/>
          <w:color w:val="auto"/>
          <w:sz w:val="21"/>
          <w:szCs w:val="21"/>
          <w:highlight w:val="none"/>
          <w:lang w:val="en-US" w:eastAsia="zh-CN" w:bidi="ar-SA"/>
        </w:rPr>
        <w:instrText xml:space="preserve"> PAGEREF _Toc17432 \h </w:instrText>
      </w:r>
      <w:r>
        <w:rPr>
          <w:rFonts w:hint="eastAsia" w:ascii="黑体" w:hAnsi="黑体" w:eastAsia="黑体" w:cs="黑体"/>
          <w:color w:val="auto"/>
          <w:sz w:val="21"/>
          <w:szCs w:val="21"/>
          <w:highlight w:val="none"/>
          <w:lang w:val="en-US" w:eastAsia="zh-CN" w:bidi="ar-SA"/>
        </w:rPr>
        <w:fldChar w:fldCharType="separate"/>
      </w:r>
      <w:r>
        <w:rPr>
          <w:rFonts w:hint="eastAsia" w:ascii="黑体" w:hAnsi="黑体" w:eastAsia="黑体" w:cs="黑体"/>
          <w:color w:val="auto"/>
          <w:sz w:val="21"/>
          <w:szCs w:val="21"/>
          <w:highlight w:val="none"/>
          <w:lang w:val="en-US" w:eastAsia="zh-CN" w:bidi="ar-SA"/>
        </w:rPr>
        <w:t xml:space="preserve">30</w:t>
      </w:r>
      <w:r>
        <w:rPr>
          <w:rFonts w:hint="eastAsia" w:ascii="黑体" w:hAnsi="黑体" w:eastAsia="黑体" w:cs="黑体"/>
          <w:color w:val="auto"/>
          <w:sz w:val="21"/>
          <w:szCs w:val="21"/>
          <w:highlight w:val="none"/>
          <w:lang w:val="en-US" w:eastAsia="zh-CN" w:bidi="ar-SA"/>
        </w:rPr>
        <w:fldChar w:fldCharType="end"/>
      </w:r>
      <w:r>
        <w:rPr>
          <w:rFonts w:hint="eastAsia" w:ascii="黑体" w:hAnsi="黑体" w:eastAsia="黑体" w:cs="黑体"/>
          <w:color w:val="auto"/>
          <w:sz w:val="21"/>
          <w:szCs w:val="21"/>
          <w:highlight w:val="none"/>
          <w:lang w:val="en-US" w:eastAsia="zh-CN" w:bidi="ar-SA"/>
        </w:rPr>
        <w:fldChar w:fldCharType="end"/>
      </w:r>
      <w:r/>
    </w:p>
    <w:p>
      <w:pPr>
        <w:ind w:left="283"/>
        <w:jc w:val="both"/>
        <w:spacing w:after="0" w:line="360" w:lineRule="auto"/>
        <w:tabs>
          <w:tab w:val="right" w:pos="9692" w:leader="dot"/>
        </w:tabs>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fldChar w:fldCharType="begin"/>
      </w:r>
      <w:r>
        <w:rPr>
          <w:rFonts w:hint="eastAsia" w:ascii="黑体" w:hAnsi="黑体" w:eastAsia="黑体" w:cs="黑体"/>
          <w:color w:val="auto"/>
          <w:sz w:val="21"/>
          <w:szCs w:val="21"/>
          <w:highlight w:val="none"/>
          <w:lang w:val="en-US" w:eastAsia="zh-CN" w:bidi="ar-SA"/>
        </w:rPr>
        <w:instrText xml:space="preserve"> HYPERLINK \l "_Toc4999" </w:instrText>
      </w:r>
      <w:r>
        <w:rPr>
          <w:rFonts w:hint="eastAsia" w:ascii="黑体" w:hAnsi="黑体" w:eastAsia="黑体" w:cs="黑体"/>
          <w:color w:val="auto"/>
          <w:sz w:val="21"/>
          <w:szCs w:val="21"/>
          <w:highlight w:val="none"/>
          <w:lang w:val="en-US" w:eastAsia="zh-CN" w:bidi="ar-SA"/>
        </w:rPr>
        <w:fldChar w:fldCharType="separate"/>
      </w:r>
      <w:r>
        <w:rPr>
          <w:rFonts w:hint="eastAsia" w:ascii="黑体" w:hAnsi="黑体" w:eastAsia="黑体" w:cs="黑体"/>
          <w:color w:val="auto"/>
          <w:sz w:val="21"/>
          <w:szCs w:val="21"/>
          <w:highlight w:val="none"/>
          <w:lang w:val="en-US" w:eastAsia="zh-CN" w:bidi="ar-SA"/>
        </w:rPr>
        <w:t xml:space="preserve">八、供应商参加政府采购活动前三年内在经营活动中没有重大违法记录的书面声明</w:t>
      </w:r>
      <w:r>
        <w:rPr>
          <w:rFonts w:hint="eastAsia" w:ascii="黑体" w:hAnsi="黑体" w:eastAsia="黑体" w:cs="黑体"/>
          <w:color w:val="auto"/>
          <w:sz w:val="21"/>
          <w:szCs w:val="21"/>
          <w:highlight w:val="none"/>
          <w:lang w:val="en-US" w:eastAsia="zh-CN" w:bidi="ar-SA"/>
        </w:rPr>
        <w:tab/>
      </w:r>
      <w:r>
        <w:rPr>
          <w:rFonts w:hint="eastAsia" w:ascii="黑体" w:hAnsi="黑体" w:eastAsia="黑体" w:cs="黑体"/>
          <w:color w:val="auto"/>
          <w:sz w:val="21"/>
          <w:szCs w:val="21"/>
          <w:highlight w:val="none"/>
          <w:lang w:val="en-US" w:eastAsia="zh-CN" w:bidi="ar-SA"/>
        </w:rPr>
        <w:fldChar w:fldCharType="begin"/>
      </w:r>
      <w:r>
        <w:rPr>
          <w:rFonts w:hint="eastAsia" w:ascii="黑体" w:hAnsi="黑体" w:eastAsia="黑体" w:cs="黑体"/>
          <w:color w:val="auto"/>
          <w:sz w:val="21"/>
          <w:szCs w:val="21"/>
          <w:highlight w:val="none"/>
          <w:lang w:val="en-US" w:eastAsia="zh-CN" w:bidi="ar-SA"/>
        </w:rPr>
        <w:instrText xml:space="preserve"> PAGEREF _Toc4999 \h </w:instrText>
      </w:r>
      <w:r>
        <w:rPr>
          <w:rFonts w:hint="eastAsia" w:ascii="黑体" w:hAnsi="黑体" w:eastAsia="黑体" w:cs="黑体"/>
          <w:color w:val="auto"/>
          <w:sz w:val="21"/>
          <w:szCs w:val="21"/>
          <w:highlight w:val="none"/>
          <w:lang w:val="en-US" w:eastAsia="zh-CN" w:bidi="ar-SA"/>
        </w:rPr>
        <w:fldChar w:fldCharType="separate"/>
      </w:r>
      <w:r>
        <w:rPr>
          <w:rFonts w:hint="eastAsia" w:ascii="黑体" w:hAnsi="黑体" w:eastAsia="黑体" w:cs="黑体"/>
          <w:color w:val="auto"/>
          <w:sz w:val="21"/>
          <w:szCs w:val="21"/>
          <w:highlight w:val="none"/>
          <w:lang w:val="en-US" w:eastAsia="zh-CN" w:bidi="ar-SA"/>
        </w:rPr>
        <w:t xml:space="preserve">31</w:t>
      </w:r>
      <w:r>
        <w:rPr>
          <w:rFonts w:hint="eastAsia" w:ascii="黑体" w:hAnsi="黑体" w:eastAsia="黑体" w:cs="黑体"/>
          <w:color w:val="auto"/>
          <w:sz w:val="21"/>
          <w:szCs w:val="21"/>
          <w:highlight w:val="none"/>
          <w:lang w:val="en-US" w:eastAsia="zh-CN" w:bidi="ar-SA"/>
        </w:rPr>
        <w:fldChar w:fldCharType="end"/>
      </w:r>
      <w:r>
        <w:rPr>
          <w:rFonts w:hint="eastAsia" w:ascii="黑体" w:hAnsi="黑体" w:eastAsia="黑体" w:cs="黑体"/>
          <w:color w:val="auto"/>
          <w:sz w:val="21"/>
          <w:szCs w:val="21"/>
          <w:highlight w:val="none"/>
          <w:lang w:val="en-US" w:eastAsia="zh-CN" w:bidi="ar-SA"/>
        </w:rPr>
        <w:fldChar w:fldCharType="end"/>
      </w:r>
      <w:r/>
    </w:p>
    <w:p>
      <w:pPr>
        <w:ind w:left="283"/>
        <w:jc w:val="both"/>
        <w:spacing w:after="0" w:line="360" w:lineRule="auto"/>
        <w:tabs>
          <w:tab w:val="right" w:pos="9692" w:leader="dot"/>
        </w:tabs>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fldChar w:fldCharType="begin"/>
      </w:r>
      <w:r>
        <w:rPr>
          <w:rFonts w:hint="eastAsia" w:ascii="黑体" w:hAnsi="黑体" w:eastAsia="黑体" w:cs="黑体"/>
          <w:color w:val="auto"/>
          <w:sz w:val="21"/>
          <w:szCs w:val="21"/>
          <w:highlight w:val="none"/>
          <w:lang w:val="en-US" w:eastAsia="zh-CN" w:bidi="ar-SA"/>
        </w:rPr>
        <w:instrText xml:space="preserve"> HYPERLINK \l "_Toc19880" </w:instrText>
      </w:r>
      <w:r>
        <w:rPr>
          <w:rFonts w:hint="eastAsia" w:ascii="黑体" w:hAnsi="黑体" w:eastAsia="黑体" w:cs="黑体"/>
          <w:color w:val="auto"/>
          <w:sz w:val="21"/>
          <w:szCs w:val="21"/>
          <w:highlight w:val="none"/>
          <w:lang w:val="en-US" w:eastAsia="zh-CN" w:bidi="ar-SA"/>
        </w:rPr>
        <w:fldChar w:fldCharType="separate"/>
      </w:r>
      <w:r>
        <w:rPr>
          <w:rFonts w:hint="eastAsia" w:ascii="黑体" w:hAnsi="黑体" w:eastAsia="黑体" w:cs="黑体"/>
          <w:color w:val="auto"/>
          <w:sz w:val="21"/>
          <w:szCs w:val="21"/>
          <w:highlight w:val="none"/>
          <w:lang w:val="en-US" w:eastAsia="zh-CN" w:bidi="ar-SA"/>
        </w:rPr>
        <w:t xml:space="preserve">九、具备履行合同所必需的设备和专业技术能力的书面声明</w:t>
      </w:r>
      <w:r>
        <w:rPr>
          <w:rFonts w:hint="eastAsia" w:ascii="黑体" w:hAnsi="黑体" w:eastAsia="黑体" w:cs="黑体"/>
          <w:color w:val="auto"/>
          <w:sz w:val="21"/>
          <w:szCs w:val="21"/>
          <w:highlight w:val="none"/>
          <w:lang w:val="en-US" w:eastAsia="zh-CN" w:bidi="ar-SA"/>
        </w:rPr>
        <w:tab/>
      </w:r>
      <w:r>
        <w:rPr>
          <w:rFonts w:hint="eastAsia" w:ascii="黑体" w:hAnsi="黑体" w:eastAsia="黑体" w:cs="黑体"/>
          <w:color w:val="auto"/>
          <w:sz w:val="21"/>
          <w:szCs w:val="21"/>
          <w:highlight w:val="none"/>
          <w:lang w:val="en-US" w:eastAsia="zh-CN" w:bidi="ar-SA"/>
        </w:rPr>
        <w:fldChar w:fldCharType="begin"/>
      </w:r>
      <w:r>
        <w:rPr>
          <w:rFonts w:hint="eastAsia" w:ascii="黑体" w:hAnsi="黑体" w:eastAsia="黑体" w:cs="黑体"/>
          <w:color w:val="auto"/>
          <w:sz w:val="21"/>
          <w:szCs w:val="21"/>
          <w:highlight w:val="none"/>
          <w:lang w:val="en-US" w:eastAsia="zh-CN" w:bidi="ar-SA"/>
        </w:rPr>
        <w:instrText xml:space="preserve"> PAGEREF _Toc19880 \h </w:instrText>
      </w:r>
      <w:r>
        <w:rPr>
          <w:rFonts w:hint="eastAsia" w:ascii="黑体" w:hAnsi="黑体" w:eastAsia="黑体" w:cs="黑体"/>
          <w:color w:val="auto"/>
          <w:sz w:val="21"/>
          <w:szCs w:val="21"/>
          <w:highlight w:val="none"/>
          <w:lang w:val="en-US" w:eastAsia="zh-CN" w:bidi="ar-SA"/>
        </w:rPr>
        <w:fldChar w:fldCharType="separate"/>
      </w:r>
      <w:r>
        <w:rPr>
          <w:rFonts w:hint="eastAsia" w:ascii="黑体" w:hAnsi="黑体" w:eastAsia="黑体" w:cs="黑体"/>
          <w:color w:val="auto"/>
          <w:sz w:val="21"/>
          <w:szCs w:val="21"/>
          <w:highlight w:val="none"/>
          <w:lang w:val="en-US" w:eastAsia="zh-CN" w:bidi="ar-SA"/>
        </w:rPr>
        <w:t xml:space="preserve">32</w:t>
      </w:r>
      <w:r>
        <w:rPr>
          <w:rFonts w:hint="eastAsia" w:ascii="黑体" w:hAnsi="黑体" w:eastAsia="黑体" w:cs="黑体"/>
          <w:color w:val="auto"/>
          <w:sz w:val="21"/>
          <w:szCs w:val="21"/>
          <w:highlight w:val="none"/>
          <w:lang w:val="en-US" w:eastAsia="zh-CN" w:bidi="ar-SA"/>
        </w:rPr>
        <w:fldChar w:fldCharType="end"/>
      </w:r>
      <w:r>
        <w:rPr>
          <w:rFonts w:hint="eastAsia" w:ascii="黑体" w:hAnsi="黑体" w:eastAsia="黑体" w:cs="黑体"/>
          <w:color w:val="auto"/>
          <w:sz w:val="21"/>
          <w:szCs w:val="21"/>
          <w:highlight w:val="none"/>
          <w:lang w:val="en-US" w:eastAsia="zh-CN" w:bidi="ar-SA"/>
        </w:rPr>
        <w:fldChar w:fldCharType="end"/>
      </w:r>
      <w:r/>
    </w:p>
    <w:p>
      <w:pPr>
        <w:ind w:left="283"/>
        <w:jc w:val="both"/>
        <w:spacing w:after="0" w:line="360" w:lineRule="auto"/>
        <w:tabs>
          <w:tab w:val="right" w:pos="9692" w:leader="dot"/>
        </w:tabs>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fldChar w:fldCharType="begin"/>
      </w:r>
      <w:r>
        <w:rPr>
          <w:rFonts w:hint="eastAsia" w:ascii="黑体" w:hAnsi="黑体" w:eastAsia="黑体" w:cs="黑体"/>
          <w:color w:val="auto"/>
          <w:sz w:val="21"/>
          <w:szCs w:val="21"/>
          <w:highlight w:val="none"/>
          <w:lang w:val="en-US" w:eastAsia="zh-CN" w:bidi="ar-SA"/>
        </w:rPr>
        <w:instrText xml:space="preserve"> HYPERLINK \l "_Toc2915" </w:instrText>
      </w:r>
      <w:r>
        <w:rPr>
          <w:rFonts w:hint="eastAsia" w:ascii="黑体" w:hAnsi="黑体" w:eastAsia="黑体" w:cs="黑体"/>
          <w:color w:val="auto"/>
          <w:sz w:val="21"/>
          <w:szCs w:val="21"/>
          <w:highlight w:val="none"/>
          <w:lang w:val="en-US" w:eastAsia="zh-CN" w:bidi="ar-SA"/>
        </w:rPr>
        <w:fldChar w:fldCharType="separate"/>
      </w:r>
      <w:r>
        <w:rPr>
          <w:rFonts w:hint="eastAsia" w:ascii="黑体" w:hAnsi="黑体" w:eastAsia="黑体" w:cs="黑体"/>
          <w:bCs/>
          <w:color w:val="auto"/>
          <w:sz w:val="21"/>
          <w:szCs w:val="21"/>
          <w:highlight w:val="none"/>
          <w:lang w:val="en-US" w:eastAsia="zh-CN" w:bidi="ar-SA"/>
        </w:rPr>
        <w:t xml:space="preserve">十、响应文件编制要求提供的其他资料</w:t>
      </w:r>
      <w:r>
        <w:rPr>
          <w:rFonts w:hint="eastAsia" w:ascii="黑体" w:hAnsi="黑体" w:eastAsia="黑体" w:cs="黑体"/>
          <w:color w:val="auto"/>
          <w:sz w:val="21"/>
          <w:szCs w:val="21"/>
          <w:highlight w:val="none"/>
          <w:lang w:val="en-US" w:eastAsia="zh-CN" w:bidi="ar-SA"/>
        </w:rPr>
        <w:tab/>
      </w:r>
      <w:r>
        <w:rPr>
          <w:rFonts w:hint="eastAsia" w:ascii="黑体" w:hAnsi="黑体" w:eastAsia="黑体" w:cs="黑体"/>
          <w:color w:val="auto"/>
          <w:sz w:val="21"/>
          <w:szCs w:val="21"/>
          <w:highlight w:val="none"/>
          <w:lang w:val="en-US" w:eastAsia="zh-CN" w:bidi="ar-SA"/>
        </w:rPr>
        <w:fldChar w:fldCharType="begin"/>
      </w:r>
      <w:r>
        <w:rPr>
          <w:rFonts w:hint="eastAsia" w:ascii="黑体" w:hAnsi="黑体" w:eastAsia="黑体" w:cs="黑体"/>
          <w:color w:val="auto"/>
          <w:sz w:val="21"/>
          <w:szCs w:val="21"/>
          <w:highlight w:val="none"/>
          <w:lang w:val="en-US" w:eastAsia="zh-CN" w:bidi="ar-SA"/>
        </w:rPr>
        <w:instrText xml:space="preserve"> PAGEREF _Toc2915 \h </w:instrText>
      </w:r>
      <w:r>
        <w:rPr>
          <w:rFonts w:hint="eastAsia" w:ascii="黑体" w:hAnsi="黑体" w:eastAsia="黑体" w:cs="黑体"/>
          <w:color w:val="auto"/>
          <w:sz w:val="21"/>
          <w:szCs w:val="21"/>
          <w:highlight w:val="none"/>
          <w:lang w:val="en-US" w:eastAsia="zh-CN" w:bidi="ar-SA"/>
        </w:rPr>
        <w:fldChar w:fldCharType="separate"/>
      </w:r>
      <w:r>
        <w:rPr>
          <w:rFonts w:hint="eastAsia" w:ascii="黑体" w:hAnsi="黑体" w:eastAsia="黑体" w:cs="黑体"/>
          <w:color w:val="auto"/>
          <w:sz w:val="21"/>
          <w:szCs w:val="21"/>
          <w:highlight w:val="none"/>
          <w:lang w:val="en-US" w:eastAsia="zh-CN" w:bidi="ar-SA"/>
        </w:rPr>
        <w:t xml:space="preserve">33</w:t>
      </w:r>
      <w:r>
        <w:rPr>
          <w:rFonts w:hint="eastAsia" w:ascii="黑体" w:hAnsi="黑体" w:eastAsia="黑体" w:cs="黑体"/>
          <w:color w:val="auto"/>
          <w:sz w:val="21"/>
          <w:szCs w:val="21"/>
          <w:highlight w:val="none"/>
          <w:lang w:val="en-US" w:eastAsia="zh-CN" w:bidi="ar-SA"/>
        </w:rPr>
        <w:fldChar w:fldCharType="end"/>
      </w:r>
      <w:r>
        <w:rPr>
          <w:rFonts w:hint="eastAsia" w:ascii="黑体" w:hAnsi="黑体" w:eastAsia="黑体" w:cs="黑体"/>
          <w:color w:val="auto"/>
          <w:sz w:val="21"/>
          <w:szCs w:val="21"/>
          <w:highlight w:val="none"/>
          <w:lang w:val="en-US" w:eastAsia="zh-CN" w:bidi="ar-SA"/>
        </w:rPr>
        <w:fldChar w:fldCharType="end"/>
      </w:r>
      <w:r/>
    </w:p>
    <w:p>
      <w:pPr>
        <w:ind w:left="283"/>
        <w:jc w:val="both"/>
        <w:spacing w:after="0" w:line="360" w:lineRule="auto"/>
        <w:tabs>
          <w:tab w:val="right" w:pos="9692" w:leader="dot"/>
        </w:tabs>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fldChar w:fldCharType="begin"/>
      </w:r>
      <w:r>
        <w:rPr>
          <w:rFonts w:hint="eastAsia" w:ascii="黑体" w:hAnsi="黑体" w:eastAsia="黑体" w:cs="黑体"/>
          <w:color w:val="auto"/>
          <w:sz w:val="21"/>
          <w:szCs w:val="21"/>
          <w:highlight w:val="none"/>
          <w:lang w:val="en-US" w:eastAsia="zh-CN" w:bidi="ar-SA"/>
        </w:rPr>
        <w:instrText xml:space="preserve"> HYPERLINK \l "_Toc15915" </w:instrText>
      </w:r>
      <w:r>
        <w:rPr>
          <w:rFonts w:hint="eastAsia" w:ascii="黑体" w:hAnsi="黑体" w:eastAsia="黑体" w:cs="黑体"/>
          <w:color w:val="auto"/>
          <w:sz w:val="21"/>
          <w:szCs w:val="21"/>
          <w:highlight w:val="none"/>
          <w:lang w:val="en-US" w:eastAsia="zh-CN" w:bidi="ar-SA"/>
        </w:rPr>
        <w:fldChar w:fldCharType="separate"/>
      </w:r>
      <w:r>
        <w:rPr>
          <w:rFonts w:hint="eastAsia" w:ascii="黑体" w:hAnsi="黑体" w:eastAsia="黑体" w:cs="黑体"/>
          <w:bCs/>
          <w:color w:val="auto"/>
          <w:sz w:val="21"/>
          <w:szCs w:val="21"/>
          <w:highlight w:val="none"/>
          <w:lang w:val="en-US" w:eastAsia="zh-CN" w:bidi="ar-SA"/>
        </w:rPr>
        <w:t xml:space="preserve">十一、预付款保函支付条款模板</w:t>
      </w:r>
      <w:r>
        <w:rPr>
          <w:rFonts w:hint="eastAsia" w:ascii="黑体" w:hAnsi="黑体" w:eastAsia="黑体" w:cs="黑体"/>
          <w:color w:val="auto"/>
          <w:sz w:val="21"/>
          <w:szCs w:val="21"/>
          <w:highlight w:val="none"/>
          <w:lang w:val="en-US" w:eastAsia="zh-CN" w:bidi="ar-SA"/>
        </w:rPr>
        <w:tab/>
      </w:r>
      <w:r>
        <w:rPr>
          <w:rFonts w:hint="eastAsia" w:ascii="黑体" w:hAnsi="黑体" w:eastAsia="黑体" w:cs="黑体"/>
          <w:color w:val="auto"/>
          <w:sz w:val="21"/>
          <w:szCs w:val="21"/>
          <w:highlight w:val="none"/>
          <w:lang w:val="en-US" w:eastAsia="zh-CN" w:bidi="ar-SA"/>
        </w:rPr>
        <w:fldChar w:fldCharType="begin"/>
      </w:r>
      <w:r>
        <w:rPr>
          <w:rFonts w:hint="eastAsia" w:ascii="黑体" w:hAnsi="黑体" w:eastAsia="黑体" w:cs="黑体"/>
          <w:color w:val="auto"/>
          <w:sz w:val="21"/>
          <w:szCs w:val="21"/>
          <w:highlight w:val="none"/>
          <w:lang w:val="en-US" w:eastAsia="zh-CN" w:bidi="ar-SA"/>
        </w:rPr>
        <w:instrText xml:space="preserve"> PAGEREF _Toc15915 \h </w:instrText>
      </w:r>
      <w:r>
        <w:rPr>
          <w:rFonts w:hint="eastAsia" w:ascii="黑体" w:hAnsi="黑体" w:eastAsia="黑体" w:cs="黑体"/>
          <w:color w:val="auto"/>
          <w:sz w:val="21"/>
          <w:szCs w:val="21"/>
          <w:highlight w:val="none"/>
          <w:lang w:val="en-US" w:eastAsia="zh-CN" w:bidi="ar-SA"/>
        </w:rPr>
        <w:fldChar w:fldCharType="separate"/>
      </w:r>
      <w:r>
        <w:rPr>
          <w:rFonts w:hint="eastAsia" w:ascii="黑体" w:hAnsi="黑体" w:eastAsia="黑体" w:cs="黑体"/>
          <w:color w:val="auto"/>
          <w:sz w:val="21"/>
          <w:szCs w:val="21"/>
          <w:highlight w:val="none"/>
          <w:lang w:val="en-US" w:eastAsia="zh-CN" w:bidi="ar-SA"/>
        </w:rPr>
        <w:t xml:space="preserve">33</w:t>
      </w:r>
      <w:r>
        <w:rPr>
          <w:rFonts w:hint="eastAsia" w:ascii="黑体" w:hAnsi="黑体" w:eastAsia="黑体" w:cs="黑体"/>
          <w:color w:val="auto"/>
          <w:sz w:val="21"/>
          <w:szCs w:val="21"/>
          <w:highlight w:val="none"/>
          <w:lang w:val="en-US" w:eastAsia="zh-CN" w:bidi="ar-SA"/>
        </w:rPr>
        <w:fldChar w:fldCharType="end"/>
      </w:r>
      <w:r>
        <w:rPr>
          <w:rFonts w:hint="eastAsia" w:ascii="黑体" w:hAnsi="黑体" w:eastAsia="黑体" w:cs="黑体"/>
          <w:color w:val="auto"/>
          <w:sz w:val="21"/>
          <w:szCs w:val="21"/>
          <w:highlight w:val="none"/>
          <w:lang w:val="en-US" w:eastAsia="zh-CN" w:bidi="ar-SA"/>
        </w:rPr>
        <w:fldChar w:fldCharType="end"/>
      </w:r>
      <w:r/>
    </w:p>
    <w:p>
      <w:pPr>
        <w:jc w:val="both"/>
        <w:spacing w:after="0" w:line="360" w:lineRule="auto"/>
        <w:tabs>
          <w:tab w:val="right" w:pos="9692" w:leader="dot"/>
        </w:tabs>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fldChar w:fldCharType="begin"/>
      </w:r>
      <w:r>
        <w:rPr>
          <w:rFonts w:hint="eastAsia" w:ascii="黑体" w:hAnsi="黑体" w:eastAsia="黑体" w:cs="黑体"/>
          <w:color w:val="auto"/>
          <w:sz w:val="21"/>
          <w:szCs w:val="21"/>
          <w:highlight w:val="none"/>
          <w:lang w:val="en-US" w:eastAsia="zh-CN" w:bidi="ar-SA"/>
        </w:rPr>
        <w:instrText xml:space="preserve"> HYPERLINK \l "_Toc12909" </w:instrText>
      </w:r>
      <w:r>
        <w:rPr>
          <w:rFonts w:hint="eastAsia" w:ascii="黑体" w:hAnsi="黑体" w:eastAsia="黑体" w:cs="黑体"/>
          <w:color w:val="auto"/>
          <w:sz w:val="21"/>
          <w:szCs w:val="21"/>
          <w:highlight w:val="none"/>
          <w:lang w:val="en-US" w:eastAsia="zh-CN" w:bidi="ar-SA"/>
        </w:rPr>
        <w:fldChar w:fldCharType="separate"/>
      </w:r>
      <w:r>
        <w:rPr>
          <w:rFonts w:hint="eastAsia" w:ascii="黑体" w:hAnsi="黑体" w:eastAsia="黑体" w:cs="黑体"/>
          <w:bCs/>
          <w:color w:val="auto"/>
          <w:sz w:val="21"/>
          <w:szCs w:val="21"/>
          <w:highlight w:val="none"/>
          <w:lang w:val="en-US" w:eastAsia="zh-CN" w:bidi="ar-SA"/>
        </w:rPr>
        <w:t xml:space="preserve">第十章 拟签订的合同文本</w:t>
      </w:r>
      <w:r>
        <w:rPr>
          <w:rFonts w:hint="eastAsia" w:ascii="黑体" w:hAnsi="黑体" w:eastAsia="黑体" w:cs="黑体"/>
          <w:color w:val="auto"/>
          <w:sz w:val="21"/>
          <w:szCs w:val="21"/>
          <w:highlight w:val="none"/>
          <w:lang w:val="en-US" w:eastAsia="zh-CN" w:bidi="ar-SA"/>
        </w:rPr>
        <w:tab/>
      </w:r>
      <w:r>
        <w:rPr>
          <w:rFonts w:hint="eastAsia" w:ascii="黑体" w:hAnsi="黑体" w:eastAsia="黑体" w:cs="黑体"/>
          <w:color w:val="auto"/>
          <w:sz w:val="21"/>
          <w:szCs w:val="21"/>
          <w:highlight w:val="none"/>
          <w:lang w:val="en-US" w:eastAsia="zh-CN" w:bidi="ar-SA"/>
        </w:rPr>
        <w:fldChar w:fldCharType="begin"/>
      </w:r>
      <w:r>
        <w:rPr>
          <w:rFonts w:hint="eastAsia" w:ascii="黑体" w:hAnsi="黑体" w:eastAsia="黑体" w:cs="黑体"/>
          <w:color w:val="auto"/>
          <w:sz w:val="21"/>
          <w:szCs w:val="21"/>
          <w:highlight w:val="none"/>
          <w:lang w:val="en-US" w:eastAsia="zh-CN" w:bidi="ar-SA"/>
        </w:rPr>
        <w:instrText xml:space="preserve"> PAGEREF _Toc12909 \h </w:instrText>
      </w:r>
      <w:r>
        <w:rPr>
          <w:rFonts w:hint="eastAsia" w:ascii="黑体" w:hAnsi="黑体" w:eastAsia="黑体" w:cs="黑体"/>
          <w:color w:val="auto"/>
          <w:sz w:val="21"/>
          <w:szCs w:val="21"/>
          <w:highlight w:val="none"/>
          <w:lang w:val="en-US" w:eastAsia="zh-CN" w:bidi="ar-SA"/>
        </w:rPr>
        <w:fldChar w:fldCharType="separate"/>
      </w:r>
      <w:r>
        <w:rPr>
          <w:rFonts w:hint="eastAsia" w:ascii="黑体" w:hAnsi="黑体" w:eastAsia="黑体" w:cs="黑体"/>
          <w:color w:val="auto"/>
          <w:sz w:val="21"/>
          <w:szCs w:val="21"/>
          <w:highlight w:val="none"/>
          <w:lang w:val="en-US" w:eastAsia="zh-CN" w:bidi="ar-SA"/>
        </w:rPr>
        <w:t xml:space="preserve">34</w:t>
      </w:r>
      <w:r>
        <w:rPr>
          <w:rFonts w:hint="eastAsia" w:ascii="黑体" w:hAnsi="黑体" w:eastAsia="黑体" w:cs="黑体"/>
          <w:color w:val="auto"/>
          <w:sz w:val="21"/>
          <w:szCs w:val="21"/>
          <w:highlight w:val="none"/>
          <w:lang w:val="en-US" w:eastAsia="zh-CN" w:bidi="ar-SA"/>
        </w:rPr>
        <w:fldChar w:fldCharType="end"/>
      </w:r>
      <w:r>
        <w:rPr>
          <w:rFonts w:hint="eastAsia" w:ascii="黑体" w:hAnsi="黑体" w:eastAsia="黑体" w:cs="黑体"/>
          <w:color w:val="auto"/>
          <w:sz w:val="21"/>
          <w:szCs w:val="21"/>
          <w:highlight w:val="none"/>
          <w:lang w:val="en-US" w:eastAsia="zh-CN" w:bidi="ar-SA"/>
        </w:rPr>
        <w:fldChar w:fldCharType="end"/>
      </w:r>
      <w:r/>
    </w:p>
    <w:p>
      <w:pPr>
        <w:jc w:val="both"/>
        <w:spacing w:after="0" w:line="360" w:lineRule="auto"/>
        <w:tabs>
          <w:tab w:val="right" w:pos="9692" w:leader="dot"/>
        </w:tabs>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fldChar w:fldCharType="begin"/>
      </w:r>
      <w:r>
        <w:rPr>
          <w:rFonts w:hint="eastAsia" w:ascii="黑体" w:hAnsi="黑体" w:eastAsia="黑体" w:cs="黑体"/>
          <w:color w:val="auto"/>
          <w:sz w:val="21"/>
          <w:szCs w:val="21"/>
          <w:highlight w:val="none"/>
          <w:lang w:val="en-US" w:eastAsia="zh-CN" w:bidi="ar-SA"/>
        </w:rPr>
        <w:instrText xml:space="preserve"> HYPERLINK \l "_Toc3318" </w:instrText>
      </w:r>
      <w:r>
        <w:rPr>
          <w:rFonts w:hint="eastAsia" w:ascii="黑体" w:hAnsi="黑体" w:eastAsia="黑体" w:cs="黑体"/>
          <w:color w:val="auto"/>
          <w:sz w:val="21"/>
          <w:szCs w:val="21"/>
          <w:highlight w:val="none"/>
          <w:lang w:val="en-US" w:eastAsia="zh-CN" w:bidi="ar-SA"/>
        </w:rPr>
        <w:fldChar w:fldCharType="separate"/>
      </w:r>
      <w:r>
        <w:rPr>
          <w:rFonts w:hint="eastAsia" w:ascii="黑体" w:hAnsi="黑体" w:eastAsia="黑体" w:cs="黑体"/>
          <w:color w:val="auto"/>
          <w:sz w:val="21"/>
          <w:szCs w:val="28"/>
          <w:highlight w:val="none"/>
          <w:lang w:val="en-US" w:eastAsia="zh-CN" w:bidi="ar-SA"/>
        </w:rPr>
        <w:t xml:space="preserve">第十一章 代理服务收费标准</w:t>
      </w:r>
      <w:r>
        <w:rPr>
          <w:rFonts w:hint="eastAsia" w:ascii="黑体" w:hAnsi="黑体" w:eastAsia="黑体" w:cs="黑体"/>
          <w:color w:val="auto"/>
          <w:sz w:val="21"/>
          <w:szCs w:val="21"/>
          <w:highlight w:val="none"/>
          <w:lang w:val="en-US" w:eastAsia="zh-CN" w:bidi="ar-SA"/>
        </w:rPr>
        <w:tab/>
      </w:r>
      <w:r>
        <w:rPr>
          <w:rFonts w:hint="eastAsia" w:ascii="黑体" w:hAnsi="黑体" w:eastAsia="黑体" w:cs="黑体"/>
          <w:color w:val="auto"/>
          <w:sz w:val="21"/>
          <w:szCs w:val="21"/>
          <w:highlight w:val="none"/>
          <w:lang w:val="en-US" w:eastAsia="zh-CN" w:bidi="ar-SA"/>
        </w:rPr>
        <w:fldChar w:fldCharType="begin"/>
      </w:r>
      <w:r>
        <w:rPr>
          <w:rFonts w:hint="eastAsia" w:ascii="黑体" w:hAnsi="黑体" w:eastAsia="黑体" w:cs="黑体"/>
          <w:color w:val="auto"/>
          <w:sz w:val="21"/>
          <w:szCs w:val="21"/>
          <w:highlight w:val="none"/>
          <w:lang w:val="en-US" w:eastAsia="zh-CN" w:bidi="ar-SA"/>
        </w:rPr>
        <w:instrText xml:space="preserve"> PAGEREF _Toc3318 \h </w:instrText>
      </w:r>
      <w:r>
        <w:rPr>
          <w:rFonts w:hint="eastAsia" w:ascii="黑体" w:hAnsi="黑体" w:eastAsia="黑体" w:cs="黑体"/>
          <w:color w:val="auto"/>
          <w:sz w:val="21"/>
          <w:szCs w:val="21"/>
          <w:highlight w:val="none"/>
          <w:lang w:val="en-US" w:eastAsia="zh-CN" w:bidi="ar-SA"/>
        </w:rPr>
        <w:fldChar w:fldCharType="separate"/>
      </w:r>
      <w:r>
        <w:rPr>
          <w:rFonts w:hint="eastAsia" w:ascii="黑体" w:hAnsi="黑体" w:eastAsia="黑体" w:cs="黑体"/>
          <w:color w:val="auto"/>
          <w:sz w:val="21"/>
          <w:szCs w:val="21"/>
          <w:highlight w:val="none"/>
          <w:lang w:val="en-US" w:eastAsia="zh-CN" w:bidi="ar-SA"/>
        </w:rPr>
        <w:t xml:space="preserve">60</w:t>
      </w:r>
      <w:r>
        <w:rPr>
          <w:rFonts w:hint="eastAsia" w:ascii="黑体" w:hAnsi="黑体" w:eastAsia="黑体" w:cs="黑体"/>
          <w:color w:val="auto"/>
          <w:sz w:val="21"/>
          <w:szCs w:val="21"/>
          <w:highlight w:val="none"/>
          <w:lang w:val="en-US" w:eastAsia="zh-CN" w:bidi="ar-SA"/>
        </w:rPr>
        <w:fldChar w:fldCharType="end"/>
      </w:r>
      <w:r>
        <w:rPr>
          <w:rFonts w:hint="eastAsia" w:ascii="黑体" w:hAnsi="黑体" w:eastAsia="黑体" w:cs="黑体"/>
          <w:color w:val="auto"/>
          <w:sz w:val="21"/>
          <w:szCs w:val="21"/>
          <w:highlight w:val="none"/>
          <w:lang w:val="en-US" w:eastAsia="zh-CN" w:bidi="ar-SA"/>
        </w:rPr>
        <w:fldChar w:fldCharType="end"/>
      </w:r>
      <w:r/>
    </w:p>
    <w:p>
      <w:pPr>
        <w:jc w:val="both"/>
        <w:keepLines w:val="0"/>
        <w:keepNext w:val="0"/>
        <w:spacing w:before="240" w:after="0" w:line="360" w:lineRule="auto"/>
        <w:widowControl w:val="off"/>
        <w:rPr>
          <w:rFonts w:hint="eastAsia" w:ascii="黑体" w:hAnsi="黑体" w:eastAsia="黑体" w:cs="黑体"/>
          <w:b/>
          <w:bCs/>
          <w:color w:val="auto"/>
          <w:sz w:val="32"/>
          <w:szCs w:val="32"/>
          <w:highlight w:val="none"/>
          <w:lang w:val="zh-CN" w:eastAsia="zh-CN" w:bidi="ar-SA"/>
        </w:rPr>
        <w:outlineLvl w:val="9"/>
      </w:pPr>
      <w:r>
        <w:rPr>
          <w:rFonts w:hint="eastAsia" w:ascii="黑体" w:hAnsi="黑体" w:eastAsia="黑体" w:cs="黑体"/>
          <w:b w:val="0"/>
          <w:bCs/>
          <w:color w:val="auto"/>
          <w:sz w:val="32"/>
          <w:szCs w:val="32"/>
          <w:highlight w:val="none"/>
          <w:lang w:val="zh-CN" w:eastAsia="zh-CN" w:bidi="ar-SA"/>
        </w:rPr>
        <w:fldChar w:fldCharType="end"/>
      </w:r>
      <w:r/>
    </w:p>
    <w:p>
      <w:pPr>
        <w:ind w:firstLine="320"/>
        <w:jc w:val="center"/>
        <w:spacing w:line="360" w:lineRule="auto"/>
        <w:widowControl w:val="off"/>
        <w:rPr>
          <w:rFonts w:hint="eastAsia" w:ascii="黑体" w:hAnsi="黑体" w:eastAsia="黑体" w:cs="黑体"/>
          <w:b/>
          <w:color w:val="auto"/>
          <w:sz w:val="36"/>
          <w:highlight w:val="none"/>
          <w:lang w:val="en-US" w:eastAsia="zh-CN" w:bidi="ar-SA"/>
        </w:rPr>
      </w:pPr>
      <w:r>
        <w:rPr>
          <w:rFonts w:hint="eastAsia" w:ascii="黑体" w:hAnsi="黑体" w:eastAsia="黑体" w:cs="黑体"/>
          <w:b/>
          <w:color w:val="auto"/>
          <w:sz w:val="36"/>
          <w:highlight w:val="none"/>
          <w:lang w:val="en-US" w:eastAsia="zh-CN" w:bidi="ar-SA"/>
        </w:rPr>
      </w:r>
      <w:r/>
    </w:p>
    <w:p>
      <w:pPr>
        <w:jc w:val="left"/>
        <w:spacing w:line="360" w:lineRule="auto"/>
        <w:widowControl w:val="off"/>
        <w:rPr>
          <w:rFonts w:hint="eastAsia" w:ascii="黑体" w:hAnsi="黑体" w:eastAsia="黑体" w:cs="黑体"/>
          <w:b/>
          <w:color w:val="auto"/>
          <w:sz w:val="36"/>
          <w:highlight w:val="none"/>
        </w:rPr>
        <w:sectPr>
          <w:headerReference w:type="default" r:id="rId9"/>
          <w:footerReference w:type="default" r:id="rId11"/>
          <w:footnotePr/>
          <w:endnotePr/>
          <w:type w:val="nextPage"/>
          <w:pgSz w:w="11906" w:h="16838" w:orient="portrait"/>
          <w:pgMar w:top="1440" w:right="1310" w:bottom="1440" w:left="1310" w:header="851" w:footer="992" w:gutter="0"/>
          <w:pgNumType w:start="1"/>
          <w:cols w:num="1" w:sep="0" w:space="720" w:equalWidth="1"/>
          <w:docGrid w:linePitch="360"/>
        </w:sectPr>
      </w:pPr>
      <w:r>
        <w:rPr>
          <w:rFonts w:hint="eastAsia" w:ascii="黑体" w:hAnsi="黑体" w:eastAsia="黑体" w:cs="黑体"/>
          <w:b/>
          <w:color w:val="auto"/>
          <w:sz w:val="36"/>
          <w:highlight w:val="none"/>
        </w:rPr>
      </w:r>
      <w:r/>
    </w:p>
    <w:p>
      <w:pPr>
        <w:jc w:val="center"/>
        <w:spacing w:line="360" w:lineRule="auto"/>
        <w:widowControl w:val="off"/>
        <w:rPr>
          <w:rFonts w:hint="eastAsia" w:ascii="黑体" w:hAnsi="黑体" w:eastAsia="黑体" w:cs="黑体"/>
          <w:b/>
          <w:color w:val="auto"/>
          <w:sz w:val="36"/>
          <w:highlight w:val="none"/>
          <w:lang w:val="en-US" w:eastAsia="zh-CN" w:bidi="ar-SA"/>
        </w:rPr>
      </w:pPr>
      <w:r>
        <w:rPr>
          <w:rFonts w:hint="eastAsia" w:ascii="黑体" w:hAnsi="黑体" w:eastAsia="黑体" w:cs="黑体"/>
          <w:b/>
          <w:color w:val="auto"/>
          <w:sz w:val="36"/>
          <w:szCs w:val="21"/>
          <w:highlight w:val="none"/>
          <w:lang w:val="en-US" w:eastAsia="zh-CN" w:bidi="ar-SA"/>
        </w:rPr>
        <w:t xml:space="preserve">竞争性磋商文件</w:t>
      </w:r>
      <w:r/>
    </w:p>
    <w:p>
      <w:pPr>
        <w:ind w:left="0" w:right="0" w:firstLine="0"/>
        <w:jc w:val="both"/>
        <w:spacing w:before="0" w:after="0"/>
        <w:widowControl/>
        <w:rPr>
          <w:rFonts w:hint="eastAsia" w:ascii="黑体" w:hAnsi="黑体" w:eastAsia="黑体" w:cs="黑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szCs w:val="24"/>
          <w:highlight w:val="none"/>
        </w:rPr>
        <w:t xml:space="preserve">                        项目编号：</w:t>
      </w:r>
      <w:r>
        <w:rPr>
          <w:rFonts w:hint="eastAsia" w:ascii="黑体" w:hAnsi="黑体" w:eastAsia="黑体" w:cs="黑体"/>
          <w:color w:val="auto"/>
          <w:sz w:val="24"/>
          <w:szCs w:val="21"/>
          <w:highlight w:val="none"/>
          <w:lang w:eastAsia="zh-CN"/>
        </w:rPr>
        <w:t xml:space="preserve">JSZC-320300-ZBZJ-C2026-0001</w:t>
      </w:r>
      <w:r/>
    </w:p>
    <w:p>
      <w:pPr>
        <w:jc w:val="center"/>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4"/>
          <w:highlight w:val="none"/>
          <w:lang w:val="en-US" w:eastAsia="zh-CN" w:bidi="ar-SA"/>
        </w:rPr>
        <w:t xml:space="preserve"> </w:t>
      </w:r>
      <w:r/>
    </w:p>
    <w:p>
      <w:pPr>
        <w:jc w:val="left"/>
        <w:spacing w:line="360" w:lineRule="auto"/>
        <w:widowControl w:val="off"/>
        <w:tabs>
          <w:tab w:val="left" w:pos="3240" w:leader="none"/>
        </w:tabs>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u w:val="single"/>
          <w:lang w:val="en-US" w:eastAsia="zh-CN" w:bidi="ar-SA"/>
        </w:rPr>
        <w:t xml:space="preserve">                     </w:t>
      </w:r>
      <w:r>
        <w:rPr>
          <w:rFonts w:hint="eastAsia" w:ascii="黑体" w:hAnsi="黑体" w:eastAsia="黑体" w:cs="黑体"/>
          <w:color w:val="auto"/>
          <w:sz w:val="24"/>
          <w:szCs w:val="24"/>
          <w:highlight w:val="none"/>
          <w:lang w:val="en-US" w:eastAsia="zh-CN" w:bidi="ar-SA"/>
        </w:rPr>
        <w:t xml:space="preserve"> （供应商）：</w:t>
      </w:r>
      <w:r/>
    </w:p>
    <w:p>
      <w:pPr>
        <w:ind w:firstLine="499"/>
        <w:jc w:val="left"/>
        <w:spacing w:line="360" w:lineRule="auto"/>
        <w:widowControl w:val="off"/>
        <w:rPr>
          <w:rFonts w:hint="eastAsia" w:ascii="黑体" w:hAnsi="黑体" w:eastAsia="黑体" w:cs="黑体"/>
          <w:color w:val="auto"/>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按照《中华人民共和国政府采购法》、《中华人民共和国政府采购法实施条例》及《政府采购竞争性磋商采购方式管理暂行办法》的规定，</w:t>
      </w:r>
      <w:r>
        <w:rPr>
          <w:rFonts w:hint="eastAsia" w:ascii="黑体" w:hAnsi="黑体" w:eastAsia="黑体" w:cs="黑体"/>
          <w:color w:val="auto"/>
          <w:sz w:val="24"/>
          <w:szCs w:val="24"/>
          <w:highlight w:val="none"/>
          <w:u w:val="single"/>
          <w:lang w:val="en-US" w:eastAsia="zh-CN" w:bidi="ar-SA"/>
        </w:rPr>
        <w:t xml:space="preserve">中经国际招标集团有限公司</w:t>
      </w:r>
      <w:r>
        <w:rPr>
          <w:rFonts w:hint="eastAsia" w:ascii="黑体" w:hAnsi="黑体" w:eastAsia="黑体" w:cs="黑体"/>
          <w:color w:val="auto"/>
          <w:sz w:val="24"/>
          <w:szCs w:val="24"/>
          <w:highlight w:val="none"/>
          <w:lang w:val="en-US" w:eastAsia="zh-CN" w:bidi="ar-SA"/>
        </w:rPr>
        <w:t xml:space="preserve">对</w:t>
      </w:r>
      <w:r>
        <w:rPr>
          <w:rFonts w:hint="eastAsia" w:ascii="黑体" w:hAnsi="黑体" w:eastAsia="黑体" w:cs="黑体"/>
          <w:color w:val="auto"/>
          <w:sz w:val="24"/>
          <w:szCs w:val="24"/>
          <w:highlight w:val="none"/>
          <w:u w:val="single"/>
          <w:lang w:val="en-US" w:eastAsia="zh-CN" w:bidi="ar-SA"/>
        </w:rPr>
        <w:t xml:space="preserve">2026年度市管道路零星沟槽修复工程</w:t>
      </w:r>
      <w:r>
        <w:rPr>
          <w:rFonts w:hint="eastAsia" w:ascii="黑体" w:hAnsi="黑体" w:eastAsia="黑体" w:cs="黑体"/>
          <w:color w:val="auto"/>
          <w:sz w:val="24"/>
          <w:szCs w:val="24"/>
          <w:highlight w:val="none"/>
          <w:lang w:val="en-US" w:eastAsia="zh-CN" w:bidi="ar-SA"/>
        </w:rPr>
        <w:t xml:space="preserve">采取竞争性磋商采购方式进行采购。如贵单位有意与本公司合作，请按以下竞争性磋商文件（以下简称磋商文件）要求参加磋商。</w:t>
      </w:r>
      <w:r/>
    </w:p>
    <w:p>
      <w:pPr>
        <w:jc w:val="center"/>
        <w:keepLines w:val="0"/>
        <w:keepNext w:val="0"/>
        <w:spacing w:before="340" w:after="330" w:line="360" w:lineRule="auto"/>
        <w:widowControl w:val="off"/>
        <w:rPr>
          <w:rFonts w:hint="eastAsia" w:ascii="黑体" w:hAnsi="黑体" w:eastAsia="黑体" w:cs="黑体"/>
          <w:b/>
          <w:bCs/>
          <w:color w:val="auto"/>
          <w:sz w:val="44"/>
          <w:szCs w:val="24"/>
          <w:highlight w:val="none"/>
          <w:lang w:val="en-US" w:eastAsia="zh-CN" w:bidi="ar-SA"/>
        </w:rPr>
        <w:outlineLvl w:val="0"/>
      </w:pPr>
      <w:r/>
      <w:bookmarkStart w:id="0" w:name="_Toc4955"/>
      <w:r/>
      <w:bookmarkStart w:id="1" w:name="_Toc21952"/>
      <w:r/>
      <w:bookmarkStart w:id="2" w:name="_Toc80122283"/>
      <w:r>
        <w:rPr>
          <w:rFonts w:hint="eastAsia" w:ascii="黑体" w:hAnsi="黑体" w:eastAsia="黑体" w:cs="黑体"/>
          <w:b/>
          <w:bCs/>
          <w:color w:val="auto"/>
          <w:sz w:val="24"/>
          <w:szCs w:val="24"/>
          <w:highlight w:val="none"/>
          <w:lang w:val="en-US" w:eastAsia="zh-CN" w:bidi="ar-SA"/>
        </w:rPr>
        <w:t xml:space="preserve">第一章 项目说明</w:t>
      </w:r>
      <w:bookmarkEnd w:id="0"/>
      <w:r/>
      <w:bookmarkEnd w:id="1"/>
      <w:r/>
      <w:bookmarkEnd w:id="2"/>
      <w:r/>
      <w:r/>
    </w:p>
    <w:p>
      <w:pPr>
        <w:jc w:val="left"/>
        <w:spacing w:line="360" w:lineRule="auto"/>
        <w:widowControl w:val="off"/>
        <w:rPr>
          <w:rFonts w:hint="eastAsia" w:ascii="黑体" w:hAnsi="黑体" w:eastAsia="黑体" w:cs="黑体"/>
          <w:b w:val="0"/>
          <w:bCs w:val="0"/>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一</w:t>
      </w:r>
      <w:r>
        <w:rPr>
          <w:rFonts w:hint="eastAsia" w:ascii="黑体" w:hAnsi="黑体" w:eastAsia="黑体" w:cs="黑体"/>
          <w:b w:val="0"/>
          <w:bCs w:val="0"/>
          <w:color w:val="auto"/>
          <w:sz w:val="24"/>
          <w:szCs w:val="24"/>
          <w:highlight w:val="none"/>
          <w:lang w:val="en-US" w:eastAsia="zh-CN" w:bidi="ar-SA"/>
        </w:rPr>
        <w:t xml:space="preserve">、采 购 人：徐州市市政管理中心</w:t>
      </w:r>
      <w:r/>
    </w:p>
    <w:p>
      <w:pPr>
        <w:jc w:val="left"/>
        <w:spacing w:line="360" w:lineRule="auto"/>
        <w:widowControl w:val="off"/>
        <w:rPr>
          <w:rFonts w:hint="eastAsia" w:ascii="黑体" w:hAnsi="黑体" w:eastAsia="黑体" w:cs="黑体"/>
          <w:b w:val="0"/>
          <w:bCs w:val="0"/>
          <w:color w:val="auto"/>
          <w:sz w:val="24"/>
          <w:szCs w:val="24"/>
          <w:highlight w:val="none"/>
          <w:lang w:val="en-US" w:eastAsia="zh-CN" w:bidi="ar-SA"/>
        </w:rPr>
      </w:pPr>
      <w:r>
        <w:rPr>
          <w:rFonts w:hint="eastAsia" w:ascii="黑体" w:hAnsi="黑体" w:eastAsia="黑体" w:cs="黑体"/>
          <w:b w:val="0"/>
          <w:bCs w:val="0"/>
          <w:color w:val="auto"/>
          <w:sz w:val="24"/>
          <w:szCs w:val="24"/>
          <w:highlight w:val="none"/>
          <w:lang w:val="en-US" w:eastAsia="zh-CN" w:bidi="ar-SA"/>
        </w:rPr>
        <w:t xml:space="preserve">二、项目名称：2026年度市管道路零星沟槽修复工程（项目编号：JSZC-320300-ZBZJ-C2026-0001）</w:t>
      </w:r>
      <w:r/>
    </w:p>
    <w:p>
      <w:pPr>
        <w:jc w:val="both"/>
        <w:spacing w:line="360" w:lineRule="auto"/>
        <w:widowControl w:val="off"/>
        <w:rPr>
          <w:rFonts w:hint="eastAsia" w:ascii="黑体" w:hAnsi="黑体" w:eastAsia="黑体" w:cs="黑体"/>
          <w:b w:val="0"/>
          <w:bCs w:val="0"/>
          <w:color w:val="auto"/>
          <w:sz w:val="24"/>
          <w:szCs w:val="24"/>
          <w:highlight w:val="none"/>
          <w:lang w:val="en-US" w:eastAsia="zh-CN" w:bidi="ar-SA"/>
        </w:rPr>
      </w:pPr>
      <w:r>
        <w:rPr>
          <w:rFonts w:hint="eastAsia" w:ascii="黑体" w:hAnsi="黑体" w:eastAsia="黑体" w:cs="黑体"/>
          <w:b w:val="0"/>
          <w:bCs w:val="0"/>
          <w:color w:val="auto"/>
          <w:sz w:val="24"/>
          <w:szCs w:val="24"/>
          <w:highlight w:val="none"/>
          <w:lang w:val="en-US" w:eastAsia="zh-CN" w:bidi="ar-SA"/>
        </w:rPr>
        <w:t xml:space="preserve">三、采购预算（采购项目预算金额）：详见第八章《项目要求（采购需求）》。</w:t>
      </w:r>
      <w:r/>
    </w:p>
    <w:p>
      <w:pPr>
        <w:jc w:val="left"/>
        <w:spacing w:line="360" w:lineRule="auto"/>
        <w:widowControl w:val="off"/>
        <w:rPr>
          <w:rFonts w:hint="eastAsia" w:ascii="黑体" w:hAnsi="黑体" w:eastAsia="黑体" w:cs="黑体"/>
          <w:b w:val="0"/>
          <w:bCs w:val="0"/>
          <w:color w:val="auto"/>
          <w:sz w:val="24"/>
          <w:szCs w:val="24"/>
          <w:highlight w:val="none"/>
          <w:lang w:val="en-US" w:eastAsia="zh-CN" w:bidi="ar-SA"/>
        </w:rPr>
      </w:pPr>
      <w:r>
        <w:rPr>
          <w:rFonts w:hint="eastAsia" w:ascii="黑体" w:hAnsi="黑体" w:eastAsia="黑体" w:cs="黑体"/>
          <w:b w:val="0"/>
          <w:bCs w:val="0"/>
          <w:color w:val="auto"/>
          <w:sz w:val="24"/>
          <w:szCs w:val="24"/>
          <w:highlight w:val="none"/>
          <w:lang w:val="en-US" w:eastAsia="zh-CN" w:bidi="ar-SA"/>
        </w:rPr>
        <w:t xml:space="preserve">四、采购需求：详见第八章《项目要求（采购需求）》。</w:t>
      </w:r>
      <w:r/>
    </w:p>
    <w:p>
      <w:pPr>
        <w:jc w:val="both"/>
        <w:spacing w:line="360" w:lineRule="auto"/>
        <w:widowControl w:val="off"/>
        <w:rPr>
          <w:rFonts w:hint="eastAsia" w:ascii="黑体" w:hAnsi="黑体" w:eastAsia="黑体" w:cs="黑体"/>
          <w:b w:val="0"/>
          <w:bCs w:val="0"/>
          <w:color w:val="auto"/>
          <w:sz w:val="24"/>
          <w:szCs w:val="24"/>
          <w:highlight w:val="none"/>
          <w:lang w:val="en-US" w:eastAsia="zh-CN" w:bidi="ar-SA"/>
        </w:rPr>
      </w:pPr>
      <w:r>
        <w:rPr>
          <w:rFonts w:hint="eastAsia" w:ascii="黑体" w:hAnsi="黑体" w:eastAsia="黑体" w:cs="黑体"/>
          <w:b w:val="0"/>
          <w:bCs w:val="0"/>
          <w:color w:val="auto"/>
          <w:sz w:val="24"/>
          <w:szCs w:val="24"/>
          <w:highlight w:val="none"/>
          <w:lang w:val="en-US" w:eastAsia="zh-CN" w:bidi="ar-SA"/>
        </w:rPr>
        <w:t xml:space="preserve">五、采购方式：本项目采用竞争性磋商采购方式。</w:t>
      </w:r>
      <w:r/>
    </w:p>
    <w:p>
      <w:pPr>
        <w:jc w:val="both"/>
        <w:spacing w:line="360" w:lineRule="auto"/>
        <w:widowControl w:val="off"/>
        <w:rPr>
          <w:rFonts w:hint="eastAsia" w:ascii="黑体" w:hAnsi="黑体" w:eastAsia="黑体" w:cs="黑体"/>
          <w:b w:val="0"/>
          <w:bCs w:val="0"/>
          <w:color w:val="auto"/>
          <w:sz w:val="24"/>
          <w:szCs w:val="24"/>
          <w:highlight w:val="none"/>
          <w:lang w:val="en-US" w:eastAsia="zh-CN" w:bidi="ar-SA"/>
        </w:rPr>
      </w:pPr>
      <w:r>
        <w:rPr>
          <w:rFonts w:hint="eastAsia" w:ascii="黑体" w:hAnsi="黑体" w:eastAsia="黑体" w:cs="黑体"/>
          <w:b w:val="0"/>
          <w:bCs w:val="0"/>
          <w:color w:val="auto"/>
          <w:sz w:val="24"/>
          <w:szCs w:val="24"/>
          <w:highlight w:val="none"/>
          <w:lang w:val="en-US" w:eastAsia="zh-CN" w:bidi="ar-SA"/>
        </w:rPr>
        <w:t xml:space="preserve">六、采购邀请：通过发布公告的方式邀请符合相应资格条件的供应商参与竞争性磋商采购活动。</w:t>
      </w:r>
      <w:r/>
    </w:p>
    <w:p>
      <w:pPr>
        <w:jc w:val="left"/>
        <w:spacing w:line="360" w:lineRule="auto"/>
        <w:widowControl w:val="off"/>
        <w:rPr>
          <w:rFonts w:hint="eastAsia" w:ascii="黑体" w:hAnsi="黑体" w:eastAsia="黑体" w:cs="黑体"/>
          <w:b w:val="0"/>
          <w:bCs w:val="0"/>
          <w:color w:val="auto"/>
          <w:sz w:val="24"/>
          <w:szCs w:val="24"/>
          <w:highlight w:val="none"/>
          <w:lang w:val="en-US" w:eastAsia="zh-CN" w:bidi="ar-SA"/>
        </w:rPr>
      </w:pPr>
      <w:r>
        <w:rPr>
          <w:rFonts w:hint="eastAsia" w:ascii="黑体" w:hAnsi="黑体" w:eastAsia="黑体" w:cs="黑体"/>
          <w:b w:val="0"/>
          <w:bCs w:val="0"/>
          <w:color w:val="auto"/>
          <w:sz w:val="24"/>
          <w:szCs w:val="24"/>
          <w:highlight w:val="none"/>
          <w:lang w:val="en-US" w:eastAsia="zh-CN" w:bidi="ar-SA"/>
        </w:rPr>
        <w:t xml:space="preserve">七、合同草案条款：见第十章《拟签订的合同文本》。</w:t>
      </w:r>
      <w:r/>
    </w:p>
    <w:p>
      <w:pPr>
        <w:jc w:val="both"/>
        <w:spacing w:line="360" w:lineRule="auto"/>
        <w:widowControl w:val="off"/>
        <w:rPr>
          <w:rFonts w:hint="eastAsia" w:ascii="黑体" w:hAnsi="黑体" w:eastAsia="黑体" w:cs="黑体"/>
          <w:b w:val="0"/>
          <w:bCs w:val="0"/>
          <w:color w:val="auto"/>
          <w:sz w:val="24"/>
          <w:highlight w:val="none"/>
          <w:lang w:val="en-US" w:eastAsia="zh-CN" w:bidi="ar-SA"/>
        </w:rPr>
      </w:pPr>
      <w:r>
        <w:rPr>
          <w:rFonts w:hint="eastAsia" w:ascii="黑体" w:hAnsi="黑体" w:eastAsia="黑体" w:cs="黑体"/>
          <w:b w:val="0"/>
          <w:bCs w:val="0"/>
          <w:color w:val="auto"/>
          <w:sz w:val="24"/>
          <w:szCs w:val="24"/>
          <w:highlight w:val="none"/>
          <w:lang w:val="en-US" w:eastAsia="zh-CN" w:bidi="ar-SA"/>
        </w:rPr>
        <w:t xml:space="preserve">八、供应商资格条件：详见本项目竞争性磋商公告。</w:t>
      </w:r>
      <w:r/>
    </w:p>
    <w:p>
      <w:pPr>
        <w:jc w:val="left"/>
        <w:spacing w:line="360" w:lineRule="auto"/>
        <w:widowControl w:val="off"/>
        <w:rPr>
          <w:rFonts w:hint="eastAsia" w:ascii="黑体" w:hAnsi="黑体" w:eastAsia="黑体" w:cs="黑体"/>
          <w:color w:val="auto"/>
          <w:szCs w:val="24"/>
          <w:highlight w:val="none"/>
          <w:lang w:val="en-US" w:eastAsia="zh-CN" w:bidi="ar-SA"/>
        </w:rPr>
      </w:pPr>
      <w:r>
        <w:rPr>
          <w:rFonts w:hint="eastAsia" w:ascii="黑体" w:hAnsi="黑体" w:eastAsia="黑体" w:cs="黑体"/>
          <w:b w:val="0"/>
          <w:bCs w:val="0"/>
          <w:color w:val="auto"/>
          <w:sz w:val="24"/>
          <w:szCs w:val="24"/>
          <w:highlight w:val="none"/>
          <w:lang w:val="en-US" w:eastAsia="zh-CN" w:bidi="ar-SA"/>
        </w:rPr>
        <w:t xml:space="preserve">说明：1、本项</w:t>
      </w:r>
      <w:r>
        <w:rPr>
          <w:rFonts w:hint="eastAsia" w:ascii="黑体" w:hAnsi="黑体" w:eastAsia="黑体" w:cs="黑体"/>
          <w:color w:val="auto"/>
          <w:sz w:val="24"/>
          <w:szCs w:val="24"/>
          <w:highlight w:val="none"/>
          <w:lang w:val="en-US" w:eastAsia="zh-CN" w:bidi="ar-SA"/>
        </w:rPr>
        <w:t xml:space="preserve">目不接受联合体参与采购活动。</w:t>
      </w:r>
      <w:r/>
    </w:p>
    <w:p>
      <w:pPr>
        <w:ind w:firstLine="482"/>
        <w:jc w:val="left"/>
        <w:spacing w:line="360" w:lineRule="auto"/>
        <w:widowControl w:val="off"/>
        <w:rPr>
          <w:rFonts w:hint="eastAsia" w:ascii="黑体" w:hAnsi="黑体" w:eastAsia="黑体" w:cs="黑体"/>
          <w:color w:val="auto"/>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2、单位负责人为同一人或者存在直接控股、管理关系的不同供应商，不得参加同一合同项下的政府采购活动。</w:t>
      </w:r>
      <w:r/>
    </w:p>
    <w:p>
      <w:pPr>
        <w:ind w:firstLine="482"/>
        <w:jc w:val="left"/>
        <w:spacing w:line="360" w:lineRule="auto"/>
        <w:widowControl w:val="off"/>
        <w:rPr>
          <w:rFonts w:hint="eastAsia" w:ascii="黑体" w:hAnsi="黑体" w:eastAsia="黑体" w:cs="黑体"/>
          <w:color w:val="auto"/>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3、为本采购项目提供整体设计、规范编制或者项目管理、审查等服务的供应商，不得再参加本采购项目的采购活动。</w:t>
      </w:r>
      <w:r/>
    </w:p>
    <w:p>
      <w:pPr>
        <w:ind w:firstLine="480"/>
        <w:jc w:val="left"/>
        <w:spacing w:line="360" w:lineRule="auto"/>
        <w:widowControl w:val="off"/>
        <w:rPr>
          <w:rFonts w:hint="eastAsia" w:ascii="黑体" w:hAnsi="黑体" w:eastAsia="黑体" w:cs="黑体"/>
          <w:color w:val="auto"/>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4、查询及使用供应商信用记录：</w:t>
      </w:r>
      <w:r/>
    </w:p>
    <w:p>
      <w:pPr>
        <w:ind w:firstLine="480"/>
        <w:jc w:val="left"/>
        <w:spacing w:line="360" w:lineRule="auto"/>
        <w:widowControl w:val="off"/>
        <w:rPr>
          <w:rFonts w:hint="eastAsia" w:ascii="黑体" w:hAnsi="黑体" w:eastAsia="黑体" w:cs="黑体"/>
          <w:color w:val="auto"/>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⑴由采购人查询信用信息。</w:t>
      </w:r>
      <w:r/>
    </w:p>
    <w:p>
      <w:pPr>
        <w:ind w:firstLine="480"/>
        <w:jc w:val="left"/>
        <w:spacing w:line="360" w:lineRule="auto"/>
        <w:widowControl w:val="off"/>
        <w:rPr>
          <w:rFonts w:hint="eastAsia" w:ascii="黑体" w:hAnsi="黑体" w:eastAsia="黑体" w:cs="黑体"/>
          <w:color w:val="auto"/>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⑵查询渠道包括：</w:t>
      </w:r>
      <w:r/>
    </w:p>
    <w:p>
      <w:pPr>
        <w:ind w:firstLine="480"/>
        <w:jc w:val="left"/>
        <w:spacing w:line="360" w:lineRule="auto"/>
        <w:widowControl w:val="off"/>
        <w:rPr>
          <w:rFonts w:hint="eastAsia" w:ascii="黑体" w:hAnsi="黑体" w:eastAsia="黑体" w:cs="黑体"/>
          <w:color w:val="auto"/>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①“信用中国”网（www.creditchina.gov.cn）；</w:t>
      </w:r>
      <w:r/>
    </w:p>
    <w:p>
      <w:pPr>
        <w:ind w:firstLine="480"/>
        <w:jc w:val="left"/>
        <w:spacing w:line="360" w:lineRule="auto"/>
        <w:widowControl w:val="off"/>
        <w:rPr>
          <w:rFonts w:hint="eastAsia" w:ascii="黑体" w:hAnsi="黑体" w:eastAsia="黑体" w:cs="黑体"/>
          <w:color w:val="auto"/>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②中国政府采购网（www.ccgp.gov.cn）；</w:t>
      </w:r>
      <w:r/>
    </w:p>
    <w:p>
      <w:pPr>
        <w:ind w:firstLine="480"/>
        <w:jc w:val="left"/>
        <w:spacing w:line="360" w:lineRule="auto"/>
        <w:widowControl w:val="off"/>
        <w:rPr>
          <w:rFonts w:hint="eastAsia" w:ascii="黑体" w:hAnsi="黑体" w:eastAsia="黑体" w:cs="黑体"/>
          <w:color w:val="auto"/>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③“信用江苏”网（</w:t>
      </w:r>
      <w:bookmarkStart w:id="3" w:name="OLE_LINK1"/>
      <w:r>
        <w:rPr>
          <w:rFonts w:hint="eastAsia" w:ascii="黑体" w:hAnsi="黑体" w:eastAsia="黑体" w:cs="黑体"/>
          <w:color w:val="auto"/>
          <w:sz w:val="24"/>
          <w:szCs w:val="24"/>
          <w:highlight w:val="none"/>
          <w:lang w:val="en-US" w:eastAsia="zh-CN" w:bidi="ar-SA"/>
        </w:rPr>
        <w:t xml:space="preserve">http://</w:t>
      </w:r>
      <w:bookmarkEnd w:id="3"/>
      <w:r>
        <w:rPr>
          <w:rFonts w:hint="eastAsia" w:ascii="黑体" w:hAnsi="黑体" w:eastAsia="黑体" w:cs="黑体"/>
          <w:color w:val="auto"/>
          <w:sz w:val="24"/>
          <w:szCs w:val="24"/>
          <w:highlight w:val="none"/>
          <w:lang w:val="en-US" w:eastAsia="zh-CN" w:bidi="ar-SA"/>
        </w:rPr>
        <w:t xml:space="preserve">www.jscredit.gov.cn/）；</w:t>
      </w:r>
      <w:r/>
    </w:p>
    <w:p>
      <w:pPr>
        <w:ind w:firstLine="480"/>
        <w:jc w:val="left"/>
        <w:spacing w:line="360" w:lineRule="auto"/>
        <w:widowControl w:val="off"/>
        <w:rPr>
          <w:rFonts w:hint="eastAsia" w:ascii="黑体" w:hAnsi="黑体" w:eastAsia="黑体" w:cs="黑体"/>
          <w:color w:val="auto"/>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④</w:t>
      </w:r>
      <w:bookmarkStart w:id="4" w:name="OLE_LINK17"/>
      <w:r>
        <w:rPr>
          <w:rFonts w:hint="eastAsia" w:ascii="黑体" w:hAnsi="黑体" w:eastAsia="黑体" w:cs="黑体"/>
          <w:color w:val="auto"/>
          <w:sz w:val="24"/>
          <w:szCs w:val="24"/>
          <w:highlight w:val="none"/>
          <w:lang w:val="en-US" w:eastAsia="zh-CN" w:bidi="ar-SA"/>
        </w:rPr>
        <w:t xml:space="preserve">“信用中国（江苏徐州）”网（ http://</w:t>
      </w:r>
      <w:r>
        <w:rPr>
          <w:rFonts w:hint="eastAsia" w:ascii="黑体" w:hAnsi="黑体" w:eastAsia="黑体" w:cs="黑体"/>
          <w:color w:val="auto"/>
          <w:sz w:val="24"/>
          <w:szCs w:val="24"/>
          <w:highlight w:val="none"/>
          <w:lang w:val="en-US" w:eastAsia="zh-CN" w:bidi="ar-SA"/>
        </w:rPr>
        <w:fldChar w:fldCharType="begin"/>
      </w:r>
      <w:r>
        <w:rPr>
          <w:rFonts w:hint="eastAsia" w:ascii="黑体" w:hAnsi="黑体" w:eastAsia="黑体" w:cs="黑体"/>
          <w:color w:val="auto"/>
          <w:sz w:val="24"/>
          <w:szCs w:val="24"/>
          <w:highlight w:val="none"/>
          <w:lang w:val="en-US" w:eastAsia="zh-CN" w:bidi="ar-SA"/>
        </w:rPr>
        <w:instrText xml:space="preserve"> HYPERLINK "http://www.xuzhoucredit.gov.cn）。" </w:instrText>
      </w:r>
      <w:r>
        <w:rPr>
          <w:rFonts w:hint="eastAsia" w:ascii="黑体" w:hAnsi="黑体" w:eastAsia="黑体" w:cs="黑体"/>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lang w:val="en-US" w:eastAsia="zh-CN" w:bidi="ar-SA"/>
        </w:rPr>
        <w:t xml:space="preserve">www.xuzhoucredit.gov.cn）。</w:t>
      </w:r>
      <w:r>
        <w:rPr>
          <w:rFonts w:hint="eastAsia" w:ascii="黑体" w:hAnsi="黑体" w:eastAsia="黑体" w:cs="黑体"/>
          <w:color w:val="auto"/>
          <w:sz w:val="24"/>
          <w:szCs w:val="24"/>
          <w:highlight w:val="none"/>
          <w:lang w:val="en-US" w:eastAsia="zh-CN" w:bidi="ar-SA"/>
        </w:rPr>
        <w:fldChar w:fldCharType="end"/>
      </w:r>
      <w:bookmarkEnd w:id="4"/>
      <w:r/>
      <w:r/>
    </w:p>
    <w:p>
      <w:pPr>
        <w:ind w:firstLine="480"/>
        <w:jc w:val="left"/>
        <w:spacing w:line="360" w:lineRule="auto"/>
        <w:widowControl w:val="off"/>
        <w:rPr>
          <w:rFonts w:hint="eastAsia" w:ascii="黑体" w:hAnsi="黑体" w:eastAsia="黑体" w:cs="黑体"/>
          <w:color w:val="auto"/>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⑶截止时点（查询环节）：首次响应文件开启后资格审查结束前。</w:t>
      </w:r>
      <w:r/>
    </w:p>
    <w:p>
      <w:pPr>
        <w:ind w:firstLine="480"/>
        <w:jc w:val="left"/>
        <w:spacing w:line="360" w:lineRule="auto"/>
        <w:widowControl w:val="off"/>
        <w:rPr>
          <w:rFonts w:hint="eastAsia" w:ascii="黑体" w:hAnsi="黑体" w:eastAsia="黑体" w:cs="黑体"/>
          <w:color w:val="auto"/>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⑷信用信息查询记录和证据留存的具体方式：网页截屏打印，与其他采购文件一并保存。</w:t>
      </w:r>
      <w:r/>
    </w:p>
    <w:p>
      <w:pPr>
        <w:ind w:firstLine="480"/>
        <w:jc w:val="left"/>
        <w:spacing w:line="360" w:lineRule="auto"/>
        <w:widowControl w:val="off"/>
        <w:rPr>
          <w:rFonts w:hint="eastAsia" w:ascii="黑体" w:hAnsi="黑体" w:eastAsia="黑体" w:cs="黑体"/>
          <w:color w:val="auto"/>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⑸信用信息的使用规则：</w:t>
      </w:r>
      <w:r/>
    </w:p>
    <w:p>
      <w:pPr>
        <w:ind w:firstLine="480"/>
        <w:jc w:val="left"/>
        <w:spacing w:line="360" w:lineRule="auto"/>
        <w:widowControl w:val="off"/>
        <w:rPr>
          <w:rFonts w:hint="eastAsia" w:ascii="黑体" w:hAnsi="黑体" w:eastAsia="黑体" w:cs="黑体"/>
          <w:color w:val="auto"/>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left"/>
        <w:spacing w:line="360" w:lineRule="auto"/>
        <w:widowControl w:val="off"/>
        <w:rPr>
          <w:rFonts w:hint="eastAsia" w:ascii="黑体" w:hAnsi="黑体" w:eastAsia="黑体" w:cs="黑体"/>
          <w:b/>
          <w:bCs/>
          <w:color w:val="auto"/>
          <w:szCs w:val="24"/>
          <w:highlight w:val="none"/>
          <w:lang w:val="en-US" w:eastAsia="zh-CN" w:bidi="ar-SA"/>
        </w:rPr>
      </w:pPr>
      <w:r/>
      <w:bookmarkStart w:id="5" w:name="_Toc80122284"/>
      <w:r>
        <w:rPr>
          <w:rFonts w:hint="eastAsia" w:ascii="黑体" w:hAnsi="黑体" w:eastAsia="黑体" w:cs="黑体"/>
          <w:color w:val="auto"/>
          <w:sz w:val="24"/>
          <w:szCs w:val="24"/>
          <w:highlight w:val="none"/>
          <w:lang w:val="en-US" w:eastAsia="zh-CN" w:bidi="ar-SA"/>
        </w:rPr>
        <w:t xml:space="preserve">九、</w:t>
      </w:r>
      <w:r>
        <w:rPr>
          <w:rFonts w:hint="eastAsia" w:ascii="黑体" w:hAnsi="黑体" w:eastAsia="黑体" w:cs="黑体"/>
          <w:b/>
          <w:bCs/>
          <w:color w:val="auto"/>
          <w:sz w:val="24"/>
          <w:szCs w:val="24"/>
          <w:highlight w:val="none"/>
          <w:lang w:val="en-US" w:eastAsia="zh-CN" w:bidi="ar-SA"/>
        </w:rPr>
        <w:t xml:space="preserve">报价要求</w:t>
      </w:r>
      <w:r/>
    </w:p>
    <w:p>
      <w:pPr>
        <w:ind w:firstLine="480"/>
        <w:jc w:val="left"/>
        <w:spacing w:line="360" w:lineRule="auto"/>
        <w:widowControl w:val="off"/>
        <w:rPr>
          <w:rFonts w:hint="eastAsia" w:ascii="黑体" w:hAnsi="黑体" w:eastAsia="黑体" w:cs="黑体"/>
          <w:color w:val="auto"/>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1、供应商报价为要约，采购人无承诺表示时视为未成交，采购人认为必要时可重新进行竞争性磋商采购或采取其它方式采购。</w:t>
      </w:r>
      <w:r/>
    </w:p>
    <w:p>
      <w:pPr>
        <w:ind w:firstLine="480"/>
        <w:jc w:val="left"/>
        <w:spacing w:line="360" w:lineRule="auto"/>
        <w:widowControl w:val="off"/>
        <w:rPr>
          <w:rFonts w:hint="eastAsia" w:ascii="黑体" w:hAnsi="黑体" w:eastAsia="黑体" w:cs="黑体"/>
          <w:color w:val="auto"/>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2、按照《磋商报价表》要求填写首次报价。</w:t>
      </w:r>
      <w:r/>
    </w:p>
    <w:p>
      <w:pPr>
        <w:ind w:firstLine="480"/>
        <w:jc w:val="both"/>
        <w:spacing w:line="360" w:lineRule="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3、报价包含本项目范围内的全部费用（含税）。供应商有漏报或不报的，采购人将视为有关费用已包括在本项目的报价中而不予支付。采购人不再支付报价以外的任何费用。</w:t>
      </w:r>
      <w:r/>
    </w:p>
    <w:p>
      <w:pPr>
        <w:jc w:val="center"/>
        <w:keepLines w:val="0"/>
        <w:keepNext w:val="0"/>
        <w:spacing w:before="0" w:after="0" w:line="360" w:lineRule="auto"/>
        <w:widowControl w:val="off"/>
        <w:rPr>
          <w:rFonts w:hint="eastAsia" w:ascii="黑体" w:hAnsi="黑体" w:eastAsia="黑体" w:cs="黑体"/>
          <w:b/>
          <w:bCs/>
          <w:color w:val="auto"/>
          <w:sz w:val="44"/>
          <w:szCs w:val="24"/>
          <w:highlight w:val="none"/>
          <w:lang w:val="en-US" w:eastAsia="zh-CN" w:bidi="ar-SA"/>
        </w:rPr>
        <w:outlineLvl w:val="0"/>
      </w:pPr>
      <w:r/>
      <w:bookmarkStart w:id="6" w:name="_Toc2478"/>
      <w:r/>
      <w:bookmarkStart w:id="7" w:name="_Toc53"/>
      <w:r>
        <w:rPr>
          <w:rFonts w:hint="eastAsia" w:ascii="黑体" w:hAnsi="黑体" w:eastAsia="黑体" w:cs="黑体"/>
          <w:b/>
          <w:bCs/>
          <w:color w:val="auto"/>
          <w:sz w:val="24"/>
          <w:szCs w:val="24"/>
          <w:highlight w:val="none"/>
          <w:lang w:val="en-US" w:eastAsia="zh-CN" w:bidi="ar-SA"/>
        </w:rPr>
        <w:t xml:space="preserve">第二章 响应文件要求</w:t>
      </w:r>
      <w:bookmarkEnd w:id="5"/>
      <w:r/>
      <w:bookmarkEnd w:id="6"/>
      <w:r/>
      <w:bookmarkEnd w:id="7"/>
      <w:r/>
      <w:r/>
    </w:p>
    <w:p>
      <w:pPr>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十、获取竞争性磋商文件：苏采云系统 。</w:t>
      </w:r>
      <w:r/>
    </w:p>
    <w:p>
      <w:pPr>
        <w:jc w:val="left"/>
        <w:spacing w:line="360" w:lineRule="auto"/>
        <w:widowControl/>
        <w:rPr>
          <w:rFonts w:hint="eastAsia" w:ascii="黑体" w:hAnsi="黑体" w:eastAsia="黑体" w:cs="黑体"/>
          <w:b/>
          <w:bCs/>
          <w:color w:val="auto"/>
          <w:sz w:val="24"/>
          <w:szCs w:val="24"/>
          <w:highlight w:val="none"/>
        </w:rPr>
      </w:pPr>
      <w:r>
        <w:rPr>
          <w:rFonts w:hint="eastAsia" w:ascii="黑体" w:hAnsi="黑体" w:eastAsia="黑体" w:cs="黑体"/>
          <w:color w:val="auto"/>
          <w:sz w:val="24"/>
          <w:szCs w:val="24"/>
          <w:highlight w:val="none"/>
        </w:rPr>
        <w:t xml:space="preserve">十一、提交响应文件要求</w:t>
      </w:r>
      <w:r/>
    </w:p>
    <w:p>
      <w:pPr>
        <w:ind w:firstLine="480"/>
        <w:jc w:val="left"/>
        <w:spacing w:line="360" w:lineRule="auto"/>
        <w:widowControl/>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（一）本项目通过“苏采云”系统进行电子采购，即供应商响应文件从政府采购客户端工具制作并通过“苏采云”系统提交。</w:t>
      </w:r>
      <w:r/>
    </w:p>
    <w:p>
      <w:pPr>
        <w:ind w:firstLine="480"/>
        <w:jc w:val="left"/>
        <w:spacing w:line="360" w:lineRule="auto"/>
        <w:widowControl/>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1、供应商应当通过“苏采云”系统提交数据电文形式的响应文件（即电子投标）。未进行线上响应文件提交并解密(因“苏采云”系统导致解密失败的除外)的供应商，响应无效。</w:t>
      </w:r>
      <w:r/>
    </w:p>
    <w:p>
      <w:pPr>
        <w:ind w:firstLine="480"/>
        <w:jc w:val="left"/>
        <w:spacing w:line="360" w:lineRule="auto"/>
        <w:widowControl/>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2、“CA数字证书”的获</w:t>
      </w:r>
      <w:r>
        <w:rPr>
          <w:rFonts w:hint="eastAsia" w:ascii="黑体" w:hAnsi="黑体" w:eastAsia="黑体" w:cs="黑体"/>
          <w:color w:val="auto"/>
          <w:sz w:val="24"/>
          <w:szCs w:val="24"/>
          <w:highlight w:val="none"/>
        </w:rPr>
        <w:t xml:space="preserve">取：</w:t>
      </w:r>
      <w:r>
        <w:rPr>
          <w:rFonts w:hint="eastAsia" w:ascii="黑体" w:hAnsi="黑体" w:eastAsia="黑体" w:cs="黑体"/>
          <w:color w:val="auto"/>
          <w:sz w:val="24"/>
          <w:szCs w:val="21"/>
          <w:highlight w:val="none"/>
        </w:rPr>
        <w:t xml:space="preserve">供应商需办理CA锁，“苏采云”系统目前仅支持“苏采云”系统下的政务CA，省内各地区办理的“苏采云”系统下的政务CA全省通用。“CA数字证书”的办理材料详见“徐州政府采购网”中的《“苏采云”系统政务CA办理材料、操作手册及控件下载》</w:t>
      </w:r>
      <w:r>
        <w:rPr>
          <w:rFonts w:hint="eastAsia" w:ascii="黑体" w:hAnsi="黑体" w:eastAsia="黑体" w:cs="黑体"/>
          <w:bCs/>
          <w:color w:val="auto"/>
          <w:sz w:val="24"/>
          <w:szCs w:val="24"/>
          <w:highlight w:val="none"/>
        </w:rPr>
        <w:t xml:space="preserve">。</w:t>
      </w:r>
      <w:r/>
    </w:p>
    <w:p>
      <w:pPr>
        <w:ind w:firstLine="480"/>
        <w:jc w:val="left"/>
        <w:spacing w:line="360" w:lineRule="auto"/>
        <w:widowControl/>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3、</w:t>
      </w:r>
      <w:r>
        <w:rPr>
          <w:rFonts w:hint="eastAsia" w:ascii="黑体" w:hAnsi="黑体" w:eastAsia="黑体" w:cs="黑体"/>
          <w:color w:val="auto"/>
          <w:sz w:val="24"/>
          <w:szCs w:val="24"/>
          <w:highlight w:val="none"/>
        </w:rPr>
        <w:t xml:space="preserve">使用需要第三方认证的电子签名、数据电文，通过互联网方式提交首次响应文件。即：使用“电子签名认证证书（CA数字证书）”登录“苏采云”系统</w:t>
      </w:r>
      <w:r>
        <w:rPr>
          <w:rFonts w:hint="eastAsia" w:ascii="黑体" w:hAnsi="黑体" w:eastAsia="黑体" w:cs="黑体"/>
          <w:bCs/>
          <w:color w:val="auto"/>
          <w:sz w:val="24"/>
          <w:szCs w:val="24"/>
          <w:highlight w:val="none"/>
        </w:rPr>
        <w:t xml:space="preserve">（网址：http://jszfcg.jsczt.cn/；或进入徐州政府采购网（网址：</w:t>
      </w:r>
      <w:r>
        <w:rPr>
          <w:rFonts w:hint="eastAsia" w:ascii="黑体" w:hAnsi="黑体" w:eastAsia="黑体" w:cs="黑体"/>
          <w:bCs/>
          <w:color w:val="auto"/>
          <w:sz w:val="24"/>
          <w:szCs w:val="24"/>
          <w:highlight w:val="none"/>
          <w:lang w:eastAsia="zh-CN"/>
        </w:rPr>
        <w:t xml:space="preserve">https://czj.xz.gov.cn/zfcg/index.html</w:t>
      </w:r>
      <w:r>
        <w:rPr>
          <w:rFonts w:hint="eastAsia" w:ascii="黑体" w:hAnsi="黑体" w:eastAsia="黑体" w:cs="黑体"/>
          <w:bCs/>
          <w:color w:val="auto"/>
          <w:sz w:val="24"/>
          <w:szCs w:val="24"/>
          <w:highlight w:val="none"/>
        </w:rPr>
        <w:t xml:space="preserve">），点击“苏采云”进入系统），按照要求通过互联网方式提交首次响应文件。</w:t>
      </w:r>
      <w:r/>
    </w:p>
    <w:p>
      <w:pPr>
        <w:ind w:firstLine="482"/>
        <w:jc w:val="left"/>
        <w:spacing w:line="360" w:lineRule="auto"/>
        <w:widowControl/>
        <w:rPr>
          <w:rFonts w:hint="eastAsia" w:ascii="黑体" w:hAnsi="黑体" w:eastAsia="黑体" w:cs="黑体"/>
          <w:b/>
          <w:color w:val="auto"/>
          <w:sz w:val="24"/>
          <w:szCs w:val="24"/>
          <w:highlight w:val="none"/>
        </w:rPr>
      </w:pPr>
      <w:r>
        <w:rPr>
          <w:rFonts w:hint="eastAsia" w:ascii="黑体" w:hAnsi="黑体" w:eastAsia="黑体" w:cs="黑体"/>
          <w:b/>
          <w:color w:val="auto"/>
          <w:sz w:val="24"/>
          <w:szCs w:val="24"/>
          <w:highlight w:val="none"/>
        </w:rPr>
        <w:t xml:space="preserve">4、“苏采云”系统使用要求：</w:t>
      </w:r>
      <w:r/>
    </w:p>
    <w:p>
      <w:pPr>
        <w:ind w:firstLine="480"/>
        <w:jc w:val="left"/>
        <w:spacing w:line="360" w:lineRule="auto"/>
        <w:widowControl/>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4.1使用谷歌浏览器参与不见面开标及磋商环节。</w:t>
      </w:r>
      <w:r/>
    </w:p>
    <w:p>
      <w:pPr>
        <w:ind w:firstLine="480"/>
        <w:jc w:val="left"/>
        <w:spacing w:line="360" w:lineRule="auto"/>
        <w:widowControl/>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4.2电脑需提前准备好麦克风、音响，摄像头，提前检查保证能够正常使用。</w:t>
      </w:r>
      <w:r/>
    </w:p>
    <w:p>
      <w:pPr>
        <w:ind w:firstLine="480"/>
        <w:jc w:val="left"/>
        <w:spacing w:line="360" w:lineRule="auto"/>
        <w:widowControl/>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4.3操作系统至少win7以上，建议使用win10操作系统。</w:t>
      </w:r>
      <w:r/>
    </w:p>
    <w:p>
      <w:pPr>
        <w:ind w:firstLine="480"/>
        <w:jc w:val="left"/>
        <w:spacing w:line="360" w:lineRule="auto"/>
        <w:widowControl/>
        <w:rPr>
          <w:rFonts w:hint="eastAsia" w:ascii="黑体" w:hAnsi="黑体" w:eastAsia="黑体" w:cs="黑体"/>
          <w:bCs/>
          <w:color w:val="auto"/>
          <w:sz w:val="24"/>
          <w:szCs w:val="24"/>
          <w:highlight w:val="none"/>
        </w:rPr>
      </w:pPr>
      <w:r>
        <w:rPr>
          <w:rFonts w:hint="eastAsia" w:ascii="黑体" w:hAnsi="黑体" w:eastAsia="黑体" w:cs="黑体"/>
          <w:color w:val="auto"/>
          <w:sz w:val="24"/>
          <w:szCs w:val="24"/>
          <w:highlight w:val="none"/>
        </w:rPr>
        <w:t xml:space="preserve">（二</w:t>
      </w:r>
      <w:r>
        <w:rPr>
          <w:rFonts w:hint="eastAsia" w:ascii="黑体" w:hAnsi="黑体" w:eastAsia="黑体" w:cs="黑体"/>
          <w:bCs/>
          <w:color w:val="auto"/>
          <w:sz w:val="24"/>
          <w:szCs w:val="24"/>
          <w:highlight w:val="none"/>
        </w:rPr>
        <w:t xml:space="preserve">）首次响应文件提交时间、地点：</w:t>
      </w:r>
      <w:r/>
    </w:p>
    <w:p>
      <w:pPr>
        <w:ind w:firstLine="480"/>
        <w:jc w:val="left"/>
        <w:spacing w:line="360" w:lineRule="auto"/>
        <w:widowControl/>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1、首次响应文件提交的截止时间：</w:t>
      </w:r>
      <w:r>
        <w:rPr>
          <w:rFonts w:hint="eastAsia" w:ascii="黑体" w:hAnsi="黑体" w:eastAsia="黑体" w:cs="黑体"/>
          <w:color w:val="auto"/>
          <w:sz w:val="24"/>
          <w:szCs w:val="24"/>
          <w:highlight w:val="none"/>
        </w:rPr>
        <w:t xml:space="preserve">202</w:t>
      </w:r>
      <w:r>
        <w:rPr>
          <w:rFonts w:hint="eastAsia" w:ascii="黑体" w:hAnsi="黑体" w:eastAsia="黑体" w:cs="黑体"/>
          <w:color w:val="auto"/>
          <w:sz w:val="24"/>
          <w:szCs w:val="24"/>
          <w:highlight w:val="none"/>
          <w:lang w:val="en-US" w:eastAsia="zh-CN"/>
        </w:rPr>
        <w:t xml:space="preserve">6</w:t>
      </w:r>
      <w:r>
        <w:rPr>
          <w:rFonts w:hint="eastAsia" w:ascii="黑体" w:hAnsi="黑体" w:eastAsia="黑体" w:cs="黑体"/>
          <w:color w:val="auto"/>
          <w:sz w:val="24"/>
          <w:szCs w:val="24"/>
          <w:highlight w:val="none"/>
        </w:rPr>
        <w:t xml:space="preserve">年0</w:t>
      </w:r>
      <w:r>
        <w:rPr>
          <w:rFonts w:hint="eastAsia" w:ascii="黑体" w:hAnsi="黑体" w:eastAsia="黑体" w:cs="黑体"/>
          <w:color w:val="auto"/>
          <w:sz w:val="24"/>
          <w:szCs w:val="24"/>
          <w:highlight w:val="none"/>
          <w:lang w:val="en-US" w:eastAsia="zh-CN"/>
        </w:rPr>
        <w:t xml:space="preserve">6</w:t>
      </w:r>
      <w:r>
        <w:rPr>
          <w:rFonts w:hint="eastAsia" w:ascii="黑体" w:hAnsi="黑体" w:eastAsia="黑体" w:cs="黑体"/>
          <w:color w:val="auto"/>
          <w:sz w:val="24"/>
          <w:szCs w:val="24"/>
          <w:highlight w:val="none"/>
        </w:rPr>
        <w:t xml:space="preserve">月</w:t>
      </w:r>
      <w:r>
        <w:rPr>
          <w:rFonts w:hint="eastAsia" w:ascii="黑体" w:hAnsi="黑体" w:eastAsia="黑体" w:cs="黑体"/>
          <w:color w:val="auto"/>
          <w:sz w:val="24"/>
          <w:szCs w:val="24"/>
          <w:highlight w:val="none"/>
        </w:rPr>
        <w:t xml:space="preserve">09日09：30</w:t>
      </w:r>
      <w:r>
        <w:rPr>
          <w:rFonts w:hint="eastAsia" w:ascii="黑体" w:hAnsi="黑体" w:eastAsia="黑体" w:cs="黑体"/>
          <w:b/>
          <w:color w:val="auto"/>
          <w:sz w:val="24"/>
          <w:szCs w:val="24"/>
          <w:highlight w:val="none"/>
        </w:rPr>
        <w:t xml:space="preserve">（北京时间）</w:t>
      </w:r>
      <w:r>
        <w:rPr>
          <w:rFonts w:hint="eastAsia" w:ascii="黑体" w:hAnsi="黑体" w:eastAsia="黑体" w:cs="黑体"/>
          <w:bCs/>
          <w:color w:val="auto"/>
          <w:sz w:val="24"/>
          <w:szCs w:val="24"/>
          <w:highlight w:val="none"/>
        </w:rPr>
        <w:t xml:space="preserve">，截止时间后提交的响应文件为无效文件将被拒收。</w:t>
      </w:r>
      <w:r/>
    </w:p>
    <w:p>
      <w:pPr>
        <w:ind w:firstLine="480"/>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rPr>
        <w:t xml:space="preserve">2、提交首次响应文</w:t>
      </w:r>
      <w:r>
        <w:rPr>
          <w:rFonts w:hint="eastAsia" w:ascii="黑体" w:hAnsi="黑体" w:eastAsia="黑体" w:cs="黑体"/>
          <w:color w:val="auto"/>
          <w:sz w:val="24"/>
          <w:szCs w:val="24"/>
          <w:highlight w:val="none"/>
        </w:rPr>
        <w:t xml:space="preserve">件地点：“苏采云”系统（网址：http://jszfcg.jsczt.cn/）“开标大厅”或进入徐州政府采购网（网址：</w:t>
      </w:r>
      <w:r>
        <w:rPr>
          <w:rFonts w:hint="eastAsia" w:ascii="黑体" w:hAnsi="黑体" w:eastAsia="黑体" w:cs="黑体"/>
          <w:color w:val="auto"/>
          <w:sz w:val="24"/>
          <w:szCs w:val="24"/>
          <w:highlight w:val="none"/>
          <w:lang w:eastAsia="zh-CN"/>
        </w:rPr>
        <w:t xml:space="preserve">https://czj.xz.gov.cn/zfcg/index.html</w:t>
      </w:r>
      <w:r>
        <w:rPr>
          <w:rFonts w:hint="eastAsia" w:ascii="黑体" w:hAnsi="黑体" w:eastAsia="黑体" w:cs="黑体"/>
          <w:color w:val="auto"/>
          <w:sz w:val="24"/>
          <w:szCs w:val="24"/>
          <w:highlight w:val="none"/>
        </w:rPr>
        <w:t xml:space="preserve">），点击“苏采云”进入系统“开标大厅”。</w:t>
      </w:r>
      <w:r/>
    </w:p>
    <w:p>
      <w:pPr>
        <w:ind w:firstLine="480"/>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3、首次响应文件开启时间：202</w:t>
      </w:r>
      <w:r>
        <w:rPr>
          <w:rFonts w:hint="eastAsia" w:ascii="黑体" w:hAnsi="黑体" w:eastAsia="黑体" w:cs="黑体"/>
          <w:color w:val="auto"/>
          <w:sz w:val="24"/>
          <w:szCs w:val="24"/>
          <w:highlight w:val="none"/>
          <w:lang w:val="en-US" w:eastAsia="zh-CN"/>
        </w:rPr>
        <w:t xml:space="preserve">6</w:t>
      </w:r>
      <w:r>
        <w:rPr>
          <w:rFonts w:hint="eastAsia" w:ascii="黑体" w:hAnsi="黑体" w:eastAsia="黑体" w:cs="黑体"/>
          <w:color w:val="auto"/>
          <w:sz w:val="24"/>
          <w:szCs w:val="24"/>
          <w:highlight w:val="none"/>
        </w:rPr>
        <w:t xml:space="preserve">年</w:t>
      </w:r>
      <w:r>
        <w:rPr>
          <w:rFonts w:hint="eastAsia" w:ascii="黑体" w:hAnsi="黑体" w:eastAsia="黑体" w:cs="黑体"/>
          <w:color w:val="auto"/>
          <w:sz w:val="24"/>
          <w:szCs w:val="24"/>
          <w:highlight w:val="none"/>
          <w:lang w:val="en-US" w:eastAsia="zh-CN"/>
        </w:rPr>
        <w:t xml:space="preserve">06</w:t>
      </w:r>
      <w:r>
        <w:rPr>
          <w:rFonts w:hint="eastAsia" w:ascii="黑体" w:hAnsi="黑体" w:eastAsia="黑体" w:cs="黑体"/>
          <w:color w:val="auto"/>
          <w:sz w:val="24"/>
          <w:szCs w:val="24"/>
          <w:highlight w:val="none"/>
        </w:rPr>
        <w:t xml:space="preserve">月</w:t>
      </w:r>
      <w:r>
        <w:rPr>
          <w:rFonts w:hint="eastAsia" w:ascii="黑体" w:hAnsi="黑体" w:eastAsia="黑体" w:cs="黑体"/>
          <w:color w:val="auto"/>
          <w:sz w:val="24"/>
          <w:szCs w:val="24"/>
          <w:highlight w:val="none"/>
        </w:rPr>
        <w:t xml:space="preserve">09日 09：30</w:t>
      </w:r>
      <w:r>
        <w:rPr>
          <w:rFonts w:hint="eastAsia" w:ascii="黑体" w:hAnsi="黑体" w:eastAsia="黑体" w:cs="黑体"/>
          <w:b/>
          <w:bCs/>
          <w:color w:val="auto"/>
          <w:sz w:val="24"/>
          <w:szCs w:val="24"/>
          <w:highlight w:val="none"/>
        </w:rPr>
        <w:t xml:space="preserve">（北京时间）</w:t>
      </w:r>
      <w:r/>
    </w:p>
    <w:p>
      <w:pPr>
        <w:ind w:firstLine="480"/>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4、首次响应文件开启地点：“苏采云”系统（网址：http://jszfcg.jsczt.cn/）“开标大厅”或进入徐州政府采购网（网址：</w:t>
      </w:r>
      <w:r>
        <w:rPr>
          <w:rFonts w:hint="eastAsia" w:ascii="黑体" w:hAnsi="黑体" w:eastAsia="黑体" w:cs="黑体"/>
          <w:color w:val="auto"/>
          <w:sz w:val="24"/>
          <w:szCs w:val="24"/>
          <w:highlight w:val="none"/>
          <w:lang w:eastAsia="zh-CN"/>
        </w:rPr>
        <w:t xml:space="preserve">https://czj.xz.gov.cn/zfcg/index.html</w:t>
      </w:r>
      <w:r>
        <w:rPr>
          <w:rFonts w:hint="eastAsia" w:ascii="黑体" w:hAnsi="黑体" w:eastAsia="黑体" w:cs="黑体"/>
          <w:color w:val="auto"/>
          <w:sz w:val="24"/>
          <w:szCs w:val="24"/>
          <w:highlight w:val="none"/>
        </w:rPr>
        <w:t xml:space="preserve">），点击“苏采云”进入系统“开标大厅”。</w:t>
      </w:r>
      <w:r/>
    </w:p>
    <w:p>
      <w:pPr>
        <w:ind w:firstLine="480"/>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三）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（四）不接受不按要求加盖公章（电子签章）的首次响应文件。电子签章相关要求见“苏采云”系统。</w:t>
      </w:r>
      <w:r/>
    </w:p>
    <w:p>
      <w:pPr>
        <w:ind w:firstLine="480"/>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（五）首次响应文件解密：到达开启时间，“苏采云”系统自动提取所有响应文件，供应商按采购文件规定方式按时在线解密。本项目采购文件规定的供应商按时在线解密方式：</w:t>
      </w:r>
      <w:r>
        <w:rPr>
          <w:rFonts w:hint="eastAsia" w:ascii="黑体" w:hAnsi="黑体" w:eastAsia="黑体" w:cs="黑体"/>
          <w:b/>
          <w:color w:val="auto"/>
          <w:sz w:val="24"/>
          <w:szCs w:val="24"/>
          <w:highlight w:val="none"/>
        </w:rPr>
        <w:t xml:space="preserve">开启后“苏采云”系统提示解密30分钟内，通过“苏采云”系统</w:t>
      </w:r>
      <w:r>
        <w:rPr>
          <w:rFonts w:hint="eastAsia" w:ascii="黑体" w:hAnsi="黑体" w:eastAsia="黑体" w:cs="黑体"/>
          <w:color w:val="auto"/>
          <w:sz w:val="24"/>
          <w:szCs w:val="24"/>
          <w:highlight w:val="none"/>
        </w:rPr>
        <w:t xml:space="preserve">（使用“CA数字证书”）解密。</w:t>
      </w:r>
      <w:r/>
    </w:p>
    <w:p>
      <w:pPr>
        <w:ind w:firstLine="480"/>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（六）采购文件（后缀名为“.kedt”）、供应商操作手册及政府采购客户端工具可通过“苏采云”系统（网址：</w:t>
      </w:r>
      <w:r>
        <w:rPr>
          <w:rFonts w:hint="eastAsia" w:ascii="黑体" w:hAnsi="黑体" w:eastAsia="黑体" w:cs="黑体"/>
          <w:color w:val="auto"/>
          <w:szCs w:val="21"/>
          <w:highlight w:val="none"/>
          <w:u w:val="none"/>
        </w:rPr>
        <w:fldChar w:fldCharType="begin"/>
      </w:r>
      <w:r>
        <w:rPr>
          <w:rFonts w:hint="eastAsia" w:ascii="黑体" w:hAnsi="黑体" w:eastAsia="黑体" w:cs="黑体"/>
          <w:color w:val="auto"/>
          <w:szCs w:val="21"/>
          <w:highlight w:val="none"/>
          <w:u w:val="none"/>
        </w:rPr>
        <w:instrText xml:space="preserve"> HYPERLINK "http://jszfcg.jsczt.cn/" </w:instrText>
      </w:r>
      <w:r>
        <w:rPr>
          <w:rFonts w:hint="eastAsia" w:ascii="黑体" w:hAnsi="黑体" w:eastAsia="黑体" w:cs="黑体"/>
          <w:color w:val="auto"/>
          <w:szCs w:val="21"/>
          <w:highlight w:val="none"/>
          <w:u w:val="none"/>
        </w:rPr>
        <w:fldChar w:fldCharType="separate"/>
      </w:r>
      <w:r>
        <w:rPr>
          <w:rFonts w:hint="eastAsia" w:ascii="黑体" w:hAnsi="黑体" w:eastAsia="黑体" w:cs="黑体"/>
          <w:color w:val="auto"/>
          <w:sz w:val="24"/>
          <w:szCs w:val="24"/>
          <w:highlight w:val="none"/>
          <w:u w:val="none"/>
        </w:rPr>
        <w:t xml:space="preserve">http://jszfcg.jsczt.cn/</w:t>
      </w:r>
      <w:r>
        <w:rPr>
          <w:rFonts w:hint="eastAsia" w:ascii="黑体" w:hAnsi="黑体" w:eastAsia="黑体" w:cs="黑体"/>
          <w:color w:val="auto"/>
          <w:sz w:val="24"/>
          <w:szCs w:val="24"/>
          <w:highlight w:val="none"/>
          <w:u w:val="none"/>
        </w:rPr>
        <w:fldChar w:fldCharType="end"/>
      </w:r>
      <w:r>
        <w:rPr>
          <w:rFonts w:hint="eastAsia" w:ascii="黑体" w:hAnsi="黑体" w:eastAsia="黑体" w:cs="黑体"/>
          <w:color w:val="auto"/>
          <w:sz w:val="24"/>
          <w:szCs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（七）相关说明: 供应商在“苏采云”系统中提交首次响应文件的时间即为数据电文（响应文件，下同）的发送时间和接收时间。</w:t>
      </w:r>
      <w:r/>
    </w:p>
    <w:p>
      <w:pPr>
        <w:jc w:val="left"/>
        <w:spacing w:line="360" w:lineRule="auto"/>
        <w:widowControl/>
        <w:rPr>
          <w:rFonts w:hint="eastAsia" w:ascii="黑体" w:hAnsi="黑体" w:eastAsia="黑体" w:cs="黑体"/>
          <w:b/>
          <w:bCs/>
          <w:color w:val="auto"/>
          <w:sz w:val="24"/>
          <w:szCs w:val="20"/>
          <w:highlight w:val="none"/>
        </w:rPr>
      </w:pPr>
      <w:r>
        <w:rPr>
          <w:rFonts w:hint="eastAsia" w:ascii="黑体" w:hAnsi="黑体" w:eastAsia="黑体" w:cs="黑体"/>
          <w:b/>
          <w:bCs/>
          <w:color w:val="auto"/>
          <w:sz w:val="24"/>
          <w:szCs w:val="20"/>
          <w:highlight w:val="none"/>
        </w:rPr>
        <w:t xml:space="preserve">十二、响应文件编制要求，请按照以下要求（包括但不限于以下要求）制作：</w:t>
      </w:r>
      <w:r/>
    </w:p>
    <w:p>
      <w:pPr>
        <w:jc w:val="left"/>
        <w:spacing w:line="360" w:lineRule="auto"/>
        <w:widowControl/>
        <w:rPr>
          <w:rFonts w:hint="eastAsia" w:ascii="黑体" w:hAnsi="黑体" w:eastAsia="黑体" w:cs="黑体"/>
          <w:b/>
          <w:color w:val="auto"/>
          <w:sz w:val="24"/>
          <w:szCs w:val="20"/>
          <w:highlight w:val="none"/>
        </w:rPr>
      </w:pPr>
      <w:r>
        <w:rPr>
          <w:rFonts w:hint="eastAsia" w:ascii="黑体" w:hAnsi="黑体" w:eastAsia="黑体" w:cs="黑体"/>
          <w:b/>
          <w:color w:val="auto"/>
          <w:sz w:val="24"/>
          <w:szCs w:val="20"/>
          <w:highlight w:val="none"/>
        </w:rPr>
        <w:t xml:space="preserve">（一）基本目录</w:t>
      </w:r>
      <w:r/>
    </w:p>
    <w:p>
      <w:pPr>
        <w:ind w:firstLine="480"/>
        <w:jc w:val="left"/>
        <w:spacing w:line="360" w:lineRule="auto"/>
        <w:widowControl/>
        <w:rPr>
          <w:rFonts w:hint="eastAsia" w:ascii="黑体" w:hAnsi="黑体" w:eastAsia="黑体" w:cs="黑体"/>
          <w:bCs/>
          <w:color w:val="auto"/>
          <w:sz w:val="24"/>
          <w:szCs w:val="20"/>
          <w:highlight w:val="none"/>
        </w:rPr>
      </w:pPr>
      <w:r>
        <w:rPr>
          <w:rFonts w:hint="eastAsia" w:ascii="黑体" w:hAnsi="黑体" w:eastAsia="黑体" w:cs="黑体"/>
          <w:bCs/>
          <w:color w:val="auto"/>
          <w:sz w:val="24"/>
          <w:szCs w:val="20"/>
          <w:highlight w:val="none"/>
        </w:rPr>
        <w:t xml:space="preserve">1.</w:t>
      </w:r>
      <w:r>
        <w:rPr>
          <w:rFonts w:hint="eastAsia" w:ascii="黑体" w:hAnsi="黑体" w:eastAsia="黑体" w:cs="黑体"/>
          <w:color w:val="auto"/>
          <w:sz w:val="24"/>
          <w:szCs w:val="20"/>
          <w:highlight w:val="none"/>
        </w:rPr>
        <w:t xml:space="preserve">《磋商报价表》（加盖电子签章，格式见《</w:t>
      </w:r>
      <w:r>
        <w:rPr>
          <w:rFonts w:hint="eastAsia" w:ascii="黑体" w:hAnsi="黑体" w:eastAsia="黑体" w:cs="黑体"/>
          <w:color w:val="auto"/>
          <w:sz w:val="24"/>
          <w:szCs w:val="20"/>
          <w:highlight w:val="none"/>
          <w:lang w:val="en-US" w:eastAsia="zh-CN"/>
        </w:rPr>
        <w:t xml:space="preserve">响应文件相关格式</w:t>
      </w:r>
      <w:r>
        <w:rPr>
          <w:rFonts w:hint="eastAsia" w:ascii="黑体" w:hAnsi="黑体" w:eastAsia="黑体" w:cs="黑体"/>
          <w:color w:val="auto"/>
          <w:sz w:val="24"/>
          <w:szCs w:val="20"/>
          <w:highlight w:val="none"/>
        </w:rPr>
        <w:t xml:space="preserve">》</w:t>
      </w:r>
      <w:r>
        <w:rPr>
          <w:rFonts w:hint="eastAsia" w:ascii="黑体" w:hAnsi="黑体" w:eastAsia="黑体" w:cs="黑体"/>
          <w:color w:val="auto"/>
          <w:sz w:val="24"/>
          <w:szCs w:val="20"/>
          <w:highlight w:val="none"/>
          <w:lang w:eastAsia="zh-CN"/>
        </w:rPr>
        <w:t xml:space="preserve">，</w:t>
      </w:r>
      <w:r>
        <w:rPr>
          <w:rFonts w:hint="eastAsia" w:ascii="黑体" w:hAnsi="黑体" w:eastAsia="黑体" w:cs="黑体"/>
          <w:color w:val="auto"/>
          <w:sz w:val="24"/>
          <w:szCs w:val="20"/>
          <w:highlight w:val="none"/>
          <w:lang w:val="en-US" w:eastAsia="zh-CN"/>
        </w:rPr>
        <w:t xml:space="preserve">或</w:t>
      </w:r>
      <w:r>
        <w:rPr>
          <w:rFonts w:hint="eastAsia" w:ascii="黑体" w:hAnsi="黑体" w:eastAsia="黑体" w:cs="黑体"/>
          <w:bCs/>
          <w:color w:val="auto"/>
          <w:sz w:val="24"/>
          <w:szCs w:val="20"/>
          <w:highlight w:val="none"/>
        </w:rPr>
        <w:t xml:space="preserve">政府采购客户端工具输入报价自动生成）；</w:t>
      </w:r>
      <w:r/>
    </w:p>
    <w:p>
      <w:pPr>
        <w:ind w:firstLine="480"/>
        <w:jc w:val="left"/>
        <w:spacing w:line="360" w:lineRule="auto"/>
        <w:widowControl/>
        <w:rPr>
          <w:rFonts w:hint="eastAsia" w:ascii="黑体" w:hAnsi="黑体" w:eastAsia="黑体" w:cs="黑体"/>
          <w:bCs/>
          <w:color w:val="auto"/>
          <w:sz w:val="24"/>
          <w:szCs w:val="20"/>
          <w:highlight w:val="none"/>
        </w:rPr>
      </w:pPr>
      <w:r>
        <w:rPr>
          <w:rFonts w:hint="eastAsia" w:ascii="黑体" w:hAnsi="黑体" w:eastAsia="黑体" w:cs="黑体"/>
          <w:bCs/>
          <w:color w:val="auto"/>
          <w:sz w:val="24"/>
          <w:szCs w:val="20"/>
          <w:highlight w:val="none"/>
        </w:rPr>
        <w:t xml:space="preserve">2、供应商认为需要提供的其他资料的扫描件（如有）。</w:t>
      </w:r>
      <w:r/>
    </w:p>
    <w:p>
      <w:pPr>
        <w:jc w:val="left"/>
        <w:spacing w:line="360" w:lineRule="auto"/>
        <w:widowControl/>
        <w:rPr>
          <w:rFonts w:hint="eastAsia" w:ascii="黑体" w:hAnsi="黑体" w:eastAsia="黑体" w:cs="黑体"/>
          <w:bCs/>
          <w:color w:val="auto"/>
          <w:sz w:val="24"/>
          <w:szCs w:val="20"/>
          <w:highlight w:val="none"/>
        </w:rPr>
      </w:pPr>
      <w:r>
        <w:rPr>
          <w:rFonts w:hint="eastAsia" w:ascii="黑体" w:hAnsi="黑体" w:eastAsia="黑体" w:cs="黑体"/>
          <w:b/>
          <w:bCs/>
          <w:color w:val="auto"/>
          <w:sz w:val="24"/>
          <w:szCs w:val="20"/>
          <w:highlight w:val="none"/>
        </w:rPr>
        <w:t xml:space="preserve">（二）资格审查条件（1-7项必须提供，否则</w:t>
      </w:r>
      <w:r>
        <w:rPr>
          <w:rFonts w:hint="eastAsia" w:ascii="黑体" w:hAnsi="黑体" w:eastAsia="黑体" w:cs="黑体"/>
          <w:b/>
          <w:color w:val="auto"/>
          <w:sz w:val="24"/>
          <w:szCs w:val="20"/>
          <w:highlight w:val="none"/>
        </w:rPr>
        <w:t xml:space="preserve">响应无效</w:t>
      </w:r>
      <w:r>
        <w:rPr>
          <w:rFonts w:hint="eastAsia" w:ascii="黑体" w:hAnsi="黑体" w:eastAsia="黑体" w:cs="黑体"/>
          <w:bCs/>
          <w:color w:val="auto"/>
          <w:sz w:val="24"/>
          <w:szCs w:val="20"/>
          <w:highlight w:val="none"/>
        </w:rPr>
        <w:t xml:space="preserve">）</w:t>
      </w:r>
      <w:r/>
    </w:p>
    <w:p>
      <w:pPr>
        <w:ind w:firstLine="482"/>
        <w:jc w:val="left"/>
        <w:spacing w:line="360" w:lineRule="auto"/>
        <w:widowControl/>
        <w:rPr>
          <w:rFonts w:hint="eastAsia" w:ascii="黑体" w:hAnsi="黑体" w:eastAsia="黑体" w:cs="黑体"/>
          <w:bCs/>
          <w:color w:val="auto"/>
          <w:sz w:val="24"/>
          <w:szCs w:val="20"/>
          <w:highlight w:val="none"/>
        </w:rPr>
      </w:pPr>
      <w:r>
        <w:rPr>
          <w:rFonts w:hint="eastAsia" w:ascii="黑体" w:hAnsi="黑体" w:eastAsia="黑体" w:cs="黑体"/>
          <w:b/>
          <w:color w:val="auto"/>
          <w:sz w:val="24"/>
          <w:szCs w:val="20"/>
          <w:highlight w:val="none"/>
        </w:rPr>
        <w:t xml:space="preserve">1、</w:t>
      </w:r>
      <w:r>
        <w:rPr>
          <w:rFonts w:hint="eastAsia" w:ascii="黑体" w:hAnsi="黑体" w:eastAsia="黑体" w:cs="黑体"/>
          <w:color w:val="auto"/>
          <w:sz w:val="24"/>
          <w:szCs w:val="24"/>
          <w:highlight w:val="none"/>
        </w:rPr>
        <w:t xml:space="preserve">具有独立承担民事责任的能力，提供</w:t>
      </w:r>
      <w:r>
        <w:rPr>
          <w:rFonts w:hint="eastAsia" w:ascii="黑体" w:hAnsi="黑体" w:eastAsia="黑体" w:cs="黑体"/>
          <w:color w:val="auto"/>
          <w:sz w:val="24"/>
          <w:szCs w:val="24"/>
          <w:highlight w:val="none"/>
          <w:lang w:val="en-US" w:eastAsia="zh-CN"/>
        </w:rPr>
        <w:t xml:space="preserve">供应商合法有效的营业执照</w:t>
      </w:r>
      <w:r>
        <w:rPr>
          <w:rFonts w:hint="eastAsia" w:ascii="黑体" w:hAnsi="黑体" w:eastAsia="黑体" w:cs="黑体"/>
          <w:color w:val="auto"/>
          <w:sz w:val="24"/>
          <w:szCs w:val="24"/>
          <w:highlight w:val="none"/>
        </w:rPr>
        <w:t xml:space="preserve">原件的</w:t>
      </w:r>
      <w:r>
        <w:rPr>
          <w:rFonts w:hint="eastAsia" w:ascii="黑体" w:hAnsi="黑体" w:eastAsia="黑体" w:cs="黑体"/>
          <w:color w:val="auto"/>
          <w:sz w:val="24"/>
          <w:szCs w:val="24"/>
          <w:highlight w:val="none"/>
          <w:lang w:val="en-US" w:eastAsia="zh-CN"/>
        </w:rPr>
        <w:t xml:space="preserve">扫描件（或事业单位法人证书</w:t>
      </w:r>
      <w:r>
        <w:rPr>
          <w:rFonts w:hint="eastAsia" w:ascii="黑体" w:hAnsi="黑体" w:eastAsia="黑体" w:cs="黑体"/>
          <w:color w:val="auto"/>
          <w:sz w:val="24"/>
          <w:szCs w:val="24"/>
          <w:highlight w:val="none"/>
        </w:rPr>
        <w:t xml:space="preserve">原件的</w:t>
      </w:r>
      <w:r>
        <w:rPr>
          <w:rFonts w:hint="eastAsia" w:ascii="黑体" w:hAnsi="黑体" w:eastAsia="黑体" w:cs="黑体"/>
          <w:color w:val="auto"/>
          <w:sz w:val="24"/>
          <w:szCs w:val="24"/>
          <w:highlight w:val="none"/>
          <w:lang w:val="en-US" w:eastAsia="zh-CN"/>
        </w:rPr>
        <w:t xml:space="preserve">扫描件，或民办非企业单位登记证书</w:t>
      </w:r>
      <w:r>
        <w:rPr>
          <w:rFonts w:hint="eastAsia" w:ascii="黑体" w:hAnsi="黑体" w:eastAsia="黑体" w:cs="黑体"/>
          <w:color w:val="auto"/>
          <w:sz w:val="24"/>
          <w:szCs w:val="24"/>
          <w:highlight w:val="none"/>
        </w:rPr>
        <w:t xml:space="preserve">原件的</w:t>
      </w:r>
      <w:r>
        <w:rPr>
          <w:rFonts w:hint="eastAsia" w:ascii="黑体" w:hAnsi="黑体" w:eastAsia="黑体" w:cs="黑体"/>
          <w:color w:val="auto"/>
          <w:sz w:val="24"/>
          <w:szCs w:val="24"/>
          <w:highlight w:val="none"/>
          <w:lang w:val="en-US" w:eastAsia="zh-CN"/>
        </w:rPr>
        <w:t xml:space="preserve">扫描件）</w:t>
      </w:r>
      <w:r>
        <w:rPr>
          <w:rFonts w:hint="eastAsia" w:ascii="黑体" w:hAnsi="黑体" w:eastAsia="黑体" w:cs="黑体"/>
          <w:b/>
          <w:color w:val="auto"/>
          <w:sz w:val="24"/>
          <w:szCs w:val="20"/>
          <w:highlight w:val="none"/>
        </w:rPr>
        <w:t xml:space="preserve">。</w:t>
      </w:r>
      <w:r/>
    </w:p>
    <w:p>
      <w:pPr>
        <w:ind w:firstLine="482"/>
        <w:jc w:val="left"/>
        <w:spacing w:line="360" w:lineRule="auto"/>
        <w:widowControl/>
        <w:rPr>
          <w:rFonts w:hint="eastAsia" w:ascii="黑体" w:hAnsi="黑体" w:eastAsia="黑体" w:cs="黑体"/>
          <w:b/>
          <w:color w:val="auto"/>
          <w:sz w:val="24"/>
          <w:szCs w:val="20"/>
          <w:highlight w:val="none"/>
        </w:rPr>
      </w:pPr>
      <w:r>
        <w:rPr>
          <w:rFonts w:hint="eastAsia" w:ascii="黑体" w:hAnsi="黑体" w:eastAsia="黑体" w:cs="黑体"/>
          <w:b/>
          <w:color w:val="auto"/>
          <w:sz w:val="24"/>
          <w:szCs w:val="20"/>
          <w:highlight w:val="none"/>
        </w:rPr>
        <w:t xml:space="preserve">2、财务状况报告，至少提供：</w:t>
      </w:r>
      <w:r/>
    </w:p>
    <w:p>
      <w:pPr>
        <w:ind w:firstLine="480"/>
        <w:jc w:val="left"/>
        <w:spacing w:line="360" w:lineRule="auto"/>
        <w:widowControl/>
        <w:rPr>
          <w:rFonts w:hint="eastAsia" w:ascii="黑体" w:hAnsi="黑体" w:eastAsia="黑体" w:cs="黑体"/>
          <w:bCs/>
          <w:color w:val="auto"/>
          <w:sz w:val="24"/>
          <w:szCs w:val="20"/>
          <w:highlight w:val="none"/>
        </w:rPr>
      </w:pPr>
      <w:r>
        <w:rPr>
          <w:rFonts w:hint="eastAsia" w:ascii="黑体" w:hAnsi="黑体" w:eastAsia="黑体" w:cs="黑体"/>
          <w:color w:val="auto"/>
          <w:sz w:val="24"/>
          <w:szCs w:val="24"/>
          <w:highlight w:val="none"/>
          <w:lang w:val="en-US" w:eastAsia="zh-CN"/>
        </w:rPr>
        <w:t xml:space="preserve">供应商的本项目开标时间前6个月内任何时间的资产负债表和利润表扫描件各一份；或提供供应商（2024年度或2025年度）经审计的财务报告原件扫描件一份；或提供供应商的本项目开标时间前6个月内银行出具的资信证明原件扫描件一份）</w:t>
      </w:r>
      <w:r>
        <w:rPr>
          <w:rFonts w:hint="eastAsia" w:ascii="黑体" w:hAnsi="黑体" w:eastAsia="黑体" w:cs="黑体"/>
          <w:bCs/>
          <w:color w:val="auto"/>
          <w:sz w:val="24"/>
          <w:szCs w:val="20"/>
          <w:highlight w:val="none"/>
        </w:rPr>
        <w:t xml:space="preserve">。</w:t>
      </w:r>
      <w:r/>
    </w:p>
    <w:p>
      <w:pPr>
        <w:ind w:firstLine="482"/>
        <w:jc w:val="left"/>
        <w:spacing w:line="360" w:lineRule="auto"/>
        <w:widowControl/>
        <w:rPr>
          <w:rFonts w:hint="eastAsia" w:ascii="黑体" w:hAnsi="黑体" w:eastAsia="黑体" w:cs="黑体"/>
          <w:b/>
          <w:color w:val="auto"/>
          <w:sz w:val="24"/>
          <w:szCs w:val="20"/>
          <w:highlight w:val="none"/>
        </w:rPr>
      </w:pPr>
      <w:r>
        <w:rPr>
          <w:rFonts w:hint="eastAsia" w:ascii="黑体" w:hAnsi="黑体" w:eastAsia="黑体" w:cs="黑体"/>
          <w:b/>
          <w:color w:val="auto"/>
          <w:sz w:val="24"/>
          <w:szCs w:val="20"/>
          <w:highlight w:val="none"/>
        </w:rPr>
        <w:t xml:space="preserve">3、有依法缴纳税收和社会保障资金的良好记录，提供：</w:t>
      </w:r>
      <w:r/>
    </w:p>
    <w:p>
      <w:pPr>
        <w:ind w:firstLine="480"/>
        <w:jc w:val="left"/>
        <w:spacing w:line="360" w:lineRule="auto"/>
        <w:widowControl/>
        <w:rPr>
          <w:rFonts w:hint="eastAsia" w:ascii="黑体" w:hAnsi="黑体" w:eastAsia="黑体" w:cs="黑体"/>
          <w:bCs/>
          <w:color w:val="auto"/>
          <w:sz w:val="24"/>
          <w:szCs w:val="20"/>
          <w:highlight w:val="none"/>
        </w:rPr>
      </w:pPr>
      <w:r>
        <w:rPr>
          <w:rFonts w:hint="eastAsia" w:ascii="黑体" w:hAnsi="黑体" w:eastAsia="黑体" w:cs="黑体"/>
          <w:color w:val="auto"/>
          <w:sz w:val="24"/>
          <w:szCs w:val="24"/>
          <w:highlight w:val="none"/>
          <w:lang w:eastAsia="zh-CN"/>
        </w:rPr>
        <w:t xml:space="preserve">本</w:t>
      </w:r>
      <w:r>
        <w:rPr>
          <w:rFonts w:hint="eastAsia" w:ascii="黑体" w:hAnsi="黑体" w:eastAsia="黑体" w:cs="黑体"/>
          <w:color w:val="auto"/>
          <w:sz w:val="24"/>
          <w:szCs w:val="24"/>
          <w:highlight w:val="none"/>
        </w:rPr>
        <w:t xml:space="preserve">项目开标时间前6个月内任何1月的</w:t>
      </w:r>
      <w:r>
        <w:rPr>
          <w:rFonts w:hint="eastAsia" w:ascii="黑体" w:hAnsi="黑体" w:eastAsia="黑体" w:cs="黑体"/>
          <w:color w:val="auto"/>
          <w:sz w:val="24"/>
          <w:szCs w:val="24"/>
          <w:highlight w:val="none"/>
          <w:lang w:val="en-US" w:eastAsia="zh-CN"/>
        </w:rPr>
        <w:t xml:space="preserve">供应商</w:t>
      </w:r>
      <w:r>
        <w:rPr>
          <w:rFonts w:hint="eastAsia" w:ascii="黑体" w:hAnsi="黑体" w:eastAsia="黑体" w:cs="黑体"/>
          <w:color w:val="auto"/>
          <w:sz w:val="24"/>
          <w:szCs w:val="24"/>
          <w:highlight w:val="none"/>
        </w:rPr>
        <w:t xml:space="preserve">依法缴纳税收的相关材料扫描件；</w:t>
      </w:r>
      <w:r>
        <w:rPr>
          <w:rFonts w:hint="eastAsia" w:ascii="黑体" w:hAnsi="黑体" w:eastAsia="黑体" w:cs="黑体"/>
          <w:color w:val="auto"/>
          <w:sz w:val="24"/>
          <w:szCs w:val="24"/>
          <w:highlight w:val="none"/>
          <w:lang w:eastAsia="zh-CN"/>
        </w:rPr>
        <w:t xml:space="preserve">和</w:t>
      </w:r>
      <w:r>
        <w:rPr>
          <w:rFonts w:hint="eastAsia" w:ascii="黑体" w:hAnsi="黑体" w:eastAsia="黑体" w:cs="黑体"/>
          <w:color w:val="auto"/>
          <w:sz w:val="24"/>
          <w:szCs w:val="24"/>
          <w:highlight w:val="none"/>
        </w:rPr>
        <w:t xml:space="preserve">本项目开标时间前6个月内任何1月的</w:t>
      </w:r>
      <w:r>
        <w:rPr>
          <w:rFonts w:hint="eastAsia" w:ascii="黑体" w:hAnsi="黑体" w:eastAsia="黑体" w:cs="黑体"/>
          <w:color w:val="auto"/>
          <w:sz w:val="24"/>
          <w:szCs w:val="24"/>
          <w:highlight w:val="none"/>
          <w:lang w:val="en-US" w:eastAsia="zh-CN"/>
        </w:rPr>
        <w:t xml:space="preserve">供应商</w:t>
      </w:r>
      <w:r>
        <w:rPr>
          <w:rFonts w:hint="eastAsia" w:ascii="黑体" w:hAnsi="黑体" w:eastAsia="黑体" w:cs="黑体"/>
          <w:color w:val="auto"/>
          <w:sz w:val="24"/>
          <w:szCs w:val="24"/>
          <w:highlight w:val="none"/>
        </w:rPr>
        <w:t xml:space="preserve">依法缴纳社会保障资金的相关材料扫描件</w:t>
      </w:r>
      <w:r>
        <w:rPr>
          <w:rFonts w:hint="eastAsia" w:ascii="黑体" w:hAnsi="黑体" w:eastAsia="黑体" w:cs="黑体"/>
          <w:color w:val="auto"/>
          <w:sz w:val="24"/>
          <w:szCs w:val="24"/>
          <w:highlight w:val="none"/>
          <w:lang w:eastAsia="zh-CN"/>
        </w:rPr>
        <w:t xml:space="preserve">）（依法免税或不需要缴纳社会保障资金的供应商,提供相应文件扫描件证明其依法免税或不需要缴纳社会保障资金</w:t>
      </w:r>
      <w:r>
        <w:rPr>
          <w:rFonts w:hint="eastAsia" w:ascii="黑体" w:hAnsi="黑体" w:eastAsia="黑体" w:cs="黑体"/>
          <w:bCs/>
          <w:color w:val="auto"/>
          <w:sz w:val="24"/>
          <w:szCs w:val="20"/>
          <w:highlight w:val="none"/>
        </w:rPr>
        <w:t xml:space="preserve">。</w:t>
      </w:r>
      <w:r/>
    </w:p>
    <w:p>
      <w:pPr>
        <w:ind w:firstLine="482"/>
        <w:jc w:val="left"/>
        <w:spacing w:line="360" w:lineRule="auto"/>
        <w:widowControl/>
        <w:rPr>
          <w:rFonts w:hint="eastAsia" w:ascii="黑体" w:hAnsi="黑体" w:eastAsia="黑体" w:cs="黑体"/>
          <w:b/>
          <w:color w:val="auto"/>
          <w:sz w:val="24"/>
          <w:szCs w:val="24"/>
          <w:highlight w:val="none"/>
        </w:rPr>
      </w:pPr>
      <w:r>
        <w:rPr>
          <w:rFonts w:hint="eastAsia" w:ascii="黑体" w:hAnsi="黑体" w:eastAsia="黑体" w:cs="黑体"/>
          <w:b/>
          <w:color w:val="auto"/>
          <w:sz w:val="24"/>
          <w:szCs w:val="20"/>
          <w:highlight w:val="none"/>
        </w:rPr>
        <w:t xml:space="preserve">4、</w:t>
      </w:r>
      <w:r>
        <w:rPr>
          <w:rFonts w:hint="eastAsia" w:ascii="黑体" w:hAnsi="黑体" w:eastAsia="黑体" w:cs="黑体"/>
          <w:color w:val="auto"/>
          <w:sz w:val="24"/>
          <w:szCs w:val="24"/>
          <w:highlight w:val="none"/>
          <w:lang w:val="en-US" w:eastAsia="zh-CN"/>
        </w:rPr>
        <w:t xml:space="preserve">具备履行合同所必需的设备和专业技术能力的证明（响应文件中提供《具备履行合同所必需的设备和专业技术能力的书面声明（附证明材料扫描件）》，加盖电子签章，格式见磋商文件《响应文件相关格式》,所附证明材料扫描件可不加盖电子签章）</w:t>
      </w:r>
      <w:r>
        <w:rPr>
          <w:rFonts w:hint="eastAsia" w:ascii="黑体" w:hAnsi="黑体" w:eastAsia="黑体" w:cs="黑体"/>
          <w:b/>
          <w:color w:val="auto"/>
          <w:sz w:val="24"/>
          <w:szCs w:val="24"/>
          <w:highlight w:val="none"/>
        </w:rPr>
        <w:t xml:space="preserve">。</w:t>
      </w:r>
      <w:r/>
    </w:p>
    <w:p>
      <w:pPr>
        <w:ind w:firstLine="482"/>
        <w:jc w:val="left"/>
        <w:spacing w:line="360" w:lineRule="auto"/>
        <w:widowControl/>
        <w:rPr>
          <w:rFonts w:hint="eastAsia" w:ascii="黑体" w:hAnsi="黑体" w:eastAsia="黑体" w:cs="黑体"/>
          <w:b/>
          <w:color w:val="auto"/>
          <w:sz w:val="24"/>
          <w:szCs w:val="20"/>
          <w:highlight w:val="none"/>
        </w:rPr>
      </w:pPr>
      <w:r>
        <w:rPr>
          <w:rFonts w:hint="eastAsia" w:ascii="黑体" w:hAnsi="黑体" w:eastAsia="黑体" w:cs="黑体"/>
          <w:b/>
          <w:color w:val="auto"/>
          <w:sz w:val="24"/>
          <w:szCs w:val="20"/>
          <w:highlight w:val="none"/>
        </w:rPr>
        <w:t xml:space="preserve">5、</w:t>
      </w:r>
      <w:r>
        <w:rPr>
          <w:rFonts w:hint="eastAsia" w:ascii="黑体" w:hAnsi="黑体" w:eastAsia="黑体" w:cs="黑体"/>
          <w:b/>
          <w:bCs/>
          <w:color w:val="auto"/>
          <w:sz w:val="24"/>
          <w:szCs w:val="24"/>
          <w:highlight w:val="none"/>
          <w:lang w:eastAsia="zh-CN"/>
        </w:rPr>
        <w:t xml:space="preserve">供应商</w:t>
      </w:r>
      <w:r>
        <w:rPr>
          <w:rFonts w:hint="eastAsia" w:ascii="黑体" w:hAnsi="黑体" w:eastAsia="黑体" w:cs="黑体"/>
          <w:b/>
          <w:bCs/>
          <w:color w:val="auto"/>
          <w:sz w:val="24"/>
          <w:szCs w:val="24"/>
          <w:highlight w:val="none"/>
        </w:rPr>
        <w:t xml:space="preserve">参加政府采购活动前3年内在经营活动中没有重大违法记录的书面声明（加盖电子签章，格式见</w:t>
      </w:r>
      <w:r>
        <w:rPr>
          <w:rFonts w:hint="eastAsia" w:ascii="黑体" w:hAnsi="黑体" w:eastAsia="黑体" w:cs="黑体"/>
          <w:b/>
          <w:bCs/>
          <w:color w:val="auto"/>
          <w:sz w:val="24"/>
          <w:szCs w:val="24"/>
          <w:highlight w:val="none"/>
          <w:lang w:val="en-US" w:eastAsia="zh-CN"/>
        </w:rPr>
        <w:t xml:space="preserve">磋商</w:t>
      </w:r>
      <w:r>
        <w:rPr>
          <w:rFonts w:hint="eastAsia" w:ascii="黑体" w:hAnsi="黑体" w:eastAsia="黑体" w:cs="黑体"/>
          <w:b/>
          <w:bCs/>
          <w:color w:val="auto"/>
          <w:sz w:val="24"/>
          <w:szCs w:val="24"/>
          <w:highlight w:val="none"/>
        </w:rPr>
        <w:t xml:space="preserve">文件《</w:t>
      </w:r>
      <w:r>
        <w:rPr>
          <w:rFonts w:hint="eastAsia" w:ascii="黑体" w:hAnsi="黑体" w:eastAsia="黑体" w:cs="黑体"/>
          <w:b/>
          <w:bCs/>
          <w:color w:val="auto"/>
          <w:sz w:val="24"/>
          <w:szCs w:val="24"/>
          <w:highlight w:val="none"/>
          <w:lang w:val="en-US" w:eastAsia="zh-CN"/>
        </w:rPr>
        <w:t xml:space="preserve">响应</w:t>
      </w:r>
      <w:r>
        <w:rPr>
          <w:rFonts w:hint="eastAsia" w:ascii="黑体" w:hAnsi="黑体" w:eastAsia="黑体" w:cs="黑体"/>
          <w:b/>
          <w:bCs/>
          <w:color w:val="auto"/>
          <w:sz w:val="24"/>
          <w:szCs w:val="24"/>
          <w:highlight w:val="none"/>
        </w:rPr>
        <w:t xml:space="preserve">文件相关格式》）</w:t>
      </w:r>
      <w:r>
        <w:rPr>
          <w:rFonts w:hint="eastAsia" w:ascii="黑体" w:hAnsi="黑体" w:eastAsia="黑体" w:cs="黑体"/>
          <w:b/>
          <w:color w:val="auto"/>
          <w:sz w:val="24"/>
          <w:szCs w:val="20"/>
          <w:highlight w:val="none"/>
        </w:rPr>
        <w:t xml:space="preserve">。</w:t>
      </w:r>
      <w:r/>
    </w:p>
    <w:p>
      <w:pPr>
        <w:ind w:firstLine="482"/>
        <w:jc w:val="left"/>
        <w:spacing w:line="360" w:lineRule="auto"/>
        <w:widowControl/>
        <w:rPr>
          <w:rFonts w:hint="eastAsia" w:ascii="黑体" w:hAnsi="黑体" w:eastAsia="黑体" w:cs="黑体"/>
          <w:b/>
          <w:color w:val="auto"/>
          <w:sz w:val="24"/>
          <w:szCs w:val="20"/>
          <w:highlight w:val="none"/>
          <w:lang w:eastAsia="zh-CN"/>
        </w:rPr>
      </w:pPr>
      <w:r>
        <w:rPr>
          <w:rFonts w:hint="eastAsia" w:ascii="黑体" w:hAnsi="黑体" w:eastAsia="黑体" w:cs="黑体"/>
          <w:b/>
          <w:color w:val="auto"/>
          <w:sz w:val="24"/>
          <w:szCs w:val="20"/>
          <w:highlight w:val="none"/>
        </w:rPr>
        <w:t xml:space="preserve">6、本项目特定资格要求：提</w:t>
      </w:r>
      <w:r>
        <w:rPr>
          <w:rFonts w:hint="eastAsia" w:ascii="黑体" w:hAnsi="黑体" w:eastAsia="黑体" w:cs="黑体"/>
          <w:b/>
          <w:color w:val="auto"/>
          <w:sz w:val="24"/>
          <w:szCs w:val="24"/>
          <w:highlight w:val="none"/>
        </w:rPr>
        <w:t xml:space="preserve">供以下资料的原件扫描件，加盖电子签章</w:t>
      </w:r>
      <w:r>
        <w:rPr>
          <w:rFonts w:hint="eastAsia" w:ascii="黑体" w:hAnsi="黑体" w:eastAsia="黑体" w:cs="黑体"/>
          <w:b/>
          <w:color w:val="auto"/>
          <w:sz w:val="24"/>
          <w:szCs w:val="24"/>
          <w:highlight w:val="none"/>
          <w:lang w:eastAsia="zh-CN"/>
        </w:rPr>
        <w:t xml:space="preserve">。</w:t>
      </w:r>
      <w:r/>
    </w:p>
    <w:p>
      <w:pPr>
        <w:ind w:firstLine="480"/>
        <w:jc w:val="left"/>
        <w:spacing w:line="360" w:lineRule="auto"/>
        <w:widowControl w:val="off"/>
        <w:rPr>
          <w:rFonts w:hint="eastAsia" w:ascii="黑体" w:hAnsi="黑体" w:eastAsia="黑体" w:cs="黑体"/>
          <w:color w:val="auto"/>
          <w:sz w:val="24"/>
          <w:highlight w:val="none"/>
          <w:lang w:val="en-US" w:eastAsia="zh-CN" w:bidi="ar-SA"/>
        </w:rPr>
      </w:pPr>
      <w:r>
        <w:rPr>
          <w:rFonts w:hint="eastAsia" w:ascii="黑体" w:hAnsi="黑体" w:eastAsia="黑体" w:cs="黑体"/>
          <w:color w:val="auto"/>
          <w:sz w:val="24"/>
          <w:highlight w:val="none"/>
          <w:lang w:val="en-US" w:eastAsia="zh-CN" w:bidi="ar-SA"/>
        </w:rPr>
        <w:t xml:space="preserve">①供应商具有有效的市政公用工程施工总承包三级（含）以上资质证书；</w:t>
      </w:r>
      <w:r/>
    </w:p>
    <w:p>
      <w:pPr>
        <w:ind w:firstLine="480"/>
        <w:jc w:val="left"/>
        <w:spacing w:line="360" w:lineRule="auto"/>
        <w:widowControl w:val="off"/>
        <w:rPr>
          <w:rFonts w:hint="eastAsia" w:ascii="黑体" w:hAnsi="黑体" w:eastAsia="黑体" w:cs="黑体"/>
          <w:color w:val="auto"/>
          <w:sz w:val="24"/>
          <w:highlight w:val="none"/>
          <w:lang w:val="en-US" w:eastAsia="zh-CN" w:bidi="ar-SA"/>
        </w:rPr>
      </w:pPr>
      <w:r>
        <w:rPr>
          <w:rFonts w:hint="eastAsia" w:ascii="黑体" w:hAnsi="黑体" w:eastAsia="黑体" w:cs="黑体"/>
          <w:color w:val="auto"/>
          <w:sz w:val="24"/>
          <w:highlight w:val="none"/>
          <w:lang w:val="en-US" w:eastAsia="zh-CN" w:bidi="ar-SA"/>
        </w:rPr>
        <w:t xml:space="preserve">②供应商具有有效的《安全生产许可证》证书；</w:t>
      </w:r>
      <w:r/>
    </w:p>
    <w:p>
      <w:pPr>
        <w:ind w:firstLine="480"/>
        <w:jc w:val="left"/>
        <w:spacing w:line="360" w:lineRule="auto"/>
        <w:widowControl w:val="off"/>
        <w:rPr>
          <w:rFonts w:hint="eastAsia" w:ascii="黑体" w:hAnsi="黑体" w:eastAsia="黑体" w:cs="黑体"/>
          <w:color w:val="auto"/>
          <w:sz w:val="24"/>
          <w:highlight w:val="none"/>
          <w:lang w:val="en-US" w:eastAsia="zh-CN" w:bidi="ar-SA"/>
        </w:rPr>
      </w:pPr>
      <w:r>
        <w:rPr>
          <w:rFonts w:hint="eastAsia" w:ascii="黑体" w:hAnsi="黑体" w:eastAsia="黑体" w:cs="黑体"/>
          <w:color w:val="auto"/>
          <w:sz w:val="24"/>
          <w:highlight w:val="none"/>
          <w:lang w:val="en-US" w:eastAsia="zh-CN" w:bidi="ar-SA"/>
        </w:rPr>
        <w:t xml:space="preserve">③供应商拟派的项目负责人（注册建造师）须具备市政公用工程专业贰级（含）以上资格证书和《建筑施工企业安全生产考核合格证书》（B证）。</w:t>
      </w:r>
      <w:r/>
    </w:p>
    <w:p>
      <w:pPr>
        <w:ind w:firstLine="480"/>
        <w:jc w:val="left"/>
        <w:spacing w:line="360" w:lineRule="auto"/>
        <w:widowControl/>
        <w:rPr>
          <w:rFonts w:hint="eastAsia" w:ascii="黑体" w:hAnsi="黑体" w:eastAsia="黑体" w:cs="黑体"/>
          <w:bCs/>
          <w:color w:val="auto"/>
          <w:sz w:val="24"/>
          <w:szCs w:val="20"/>
          <w:highlight w:val="none"/>
        </w:rPr>
      </w:pPr>
      <w:r>
        <w:rPr>
          <w:rFonts w:hint="eastAsia" w:ascii="黑体" w:hAnsi="黑体" w:eastAsia="黑体" w:cs="黑体"/>
          <w:bCs/>
          <w:color w:val="auto"/>
          <w:sz w:val="24"/>
          <w:szCs w:val="20"/>
          <w:highlight w:val="none"/>
        </w:rPr>
        <w:t xml:space="preserve">7、本项目属于专门面向中小微企业采购的项目，供应商应为中小微企业、监狱企业、残疾人福利性单位。</w:t>
      </w:r>
      <w:r/>
    </w:p>
    <w:p>
      <w:pPr>
        <w:ind w:left="0" w:right="0" w:firstLine="0"/>
        <w:jc w:val="both"/>
        <w:keepLines w:val="0"/>
        <w:keepNext w:val="0"/>
        <w:spacing w:before="0" w:beforeAutospacing="0" w:after="0" w:afterAutospacing="0" w:line="360" w:lineRule="auto"/>
        <w:widowControl/>
        <w:rPr>
          <w:rFonts w:hint="eastAsia" w:ascii="黑体" w:hAnsi="黑体" w:eastAsia="黑体" w:cs="黑体"/>
          <w:bCs/>
          <w:color w:val="auto"/>
          <w:sz w:val="24"/>
          <w:szCs w:val="20"/>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黑体" w:hAnsi="黑体" w:eastAsia="黑体" w:cs="黑体"/>
          <w:bCs/>
          <w:color w:val="auto"/>
          <w:sz w:val="24"/>
          <w:szCs w:val="20"/>
          <w:highlight w:val="none"/>
          <w:lang w:val="en-US" w:eastAsia="zh-CN" w:bidi="ar-SA"/>
        </w:rPr>
        <w:t xml:space="preserve">供应商为中小企业（含中型、小型、微型企业，下同）的，</w:t>
      </w:r>
      <w:r>
        <w:rPr>
          <w:rFonts w:hint="eastAsia" w:ascii="黑体" w:hAnsi="黑体" w:eastAsia="黑体" w:cs="黑体"/>
          <w:b/>
          <w:color w:val="auto"/>
          <w:sz w:val="24"/>
          <w:szCs w:val="20"/>
          <w:highlight w:val="none"/>
          <w:lang w:val="en-US" w:eastAsia="zh-CN" w:bidi="ar-SA"/>
        </w:rPr>
        <w:t xml:space="preserve">提供《中小企业声明函》原件（电子签章，填写完整。格式见《响应文件相关格式》）</w:t>
      </w:r>
      <w:r>
        <w:rPr>
          <w:rFonts w:hint="eastAsia" w:ascii="黑体" w:hAnsi="黑体" w:eastAsia="黑体" w:cs="黑体"/>
          <w:bCs/>
          <w:color w:val="auto"/>
          <w:sz w:val="24"/>
          <w:szCs w:val="20"/>
          <w:highlight w:val="none"/>
          <w:lang w:val="en-US" w:eastAsia="zh-CN" w:bidi="ar-SA"/>
        </w:rPr>
        <w:t xml:space="preserve">。</w:t>
      </w:r>
      <w:bookmarkStart w:id="8" w:name="OLE_LINK13"/>
      <w:r>
        <w:rPr>
          <w:rFonts w:hint="eastAsia" w:ascii="黑体" w:hAnsi="黑体" w:eastAsia="黑体" w:cs="黑体"/>
          <w:i w:val="0"/>
          <w:iCs w:val="0"/>
          <w:caps w:val="0"/>
          <w:color w:val="auto"/>
          <w:spacing w:val="0"/>
          <w:sz w:val="24"/>
          <w:szCs w:val="24"/>
          <w:highlight w:val="none"/>
          <w:lang w:val="en-US" w:eastAsia="zh-CN" w:bidi="ar-SA"/>
        </w:rPr>
        <w:t xml:space="preserve">《中小企业声明函》查询渠道用微信搜索“中小企业规模类型自测小程序”</w:t>
      </w:r>
      <w:bookmarkEnd w:id="8"/>
      <w:r>
        <w:rPr>
          <w:rFonts w:hint="eastAsia" w:ascii="黑体" w:hAnsi="黑体" w:eastAsia="黑体" w:cs="黑体"/>
          <w:i w:val="0"/>
          <w:iCs w:val="0"/>
          <w:caps w:val="0"/>
          <w:color w:val="auto"/>
          <w:spacing w:val="0"/>
          <w:sz w:val="24"/>
          <w:szCs w:val="24"/>
          <w:highlight w:val="none"/>
          <w:lang w:val="en-US" w:eastAsia="zh-CN" w:bidi="ar-SA"/>
        </w:rPr>
        <w:t xml:space="preserve">。</w:t>
      </w:r>
      <w:r/>
    </w:p>
    <w:p>
      <w:pPr>
        <w:ind w:firstLine="482"/>
        <w:jc w:val="left"/>
        <w:spacing w:line="360" w:lineRule="auto"/>
        <w:widowControl/>
        <w:rPr>
          <w:rFonts w:hint="eastAsia" w:ascii="黑体" w:hAnsi="黑体" w:eastAsia="黑体" w:cs="黑体"/>
          <w:color w:val="auto"/>
          <w:sz w:val="24"/>
          <w:szCs w:val="21"/>
          <w:highlight w:val="none"/>
        </w:rPr>
      </w:pPr>
      <w:r>
        <w:rPr>
          <w:rFonts w:hint="eastAsia" w:ascii="黑体" w:hAnsi="黑体" w:eastAsia="黑体" w:cs="黑体"/>
          <w:color w:val="auto"/>
          <w:sz w:val="24"/>
          <w:szCs w:val="20"/>
          <w:highlight w:val="none"/>
        </w:rPr>
        <w:t xml:space="preserve">注：</w:t>
      </w:r>
      <w:r>
        <w:rPr>
          <w:rFonts w:hint="eastAsia" w:ascii="黑体" w:hAnsi="黑体" w:eastAsia="黑体" w:cs="黑体"/>
          <w:bCs/>
          <w:color w:val="auto"/>
          <w:sz w:val="24"/>
          <w:szCs w:val="21"/>
          <w:highlight w:val="none"/>
        </w:rPr>
        <w:t xml:space="preserve">中小</w:t>
      </w:r>
      <w:r>
        <w:rPr>
          <w:rFonts w:hint="eastAsia" w:ascii="黑体" w:hAnsi="黑体" w:eastAsia="黑体" w:cs="黑体"/>
          <w:bCs/>
          <w:color w:val="auto"/>
          <w:sz w:val="24"/>
          <w:szCs w:val="21"/>
          <w:highlight w:val="none"/>
          <w:lang w:val="en-US" w:eastAsia="zh-CN"/>
        </w:rPr>
        <w:t xml:space="preserve">微</w:t>
      </w:r>
      <w:r>
        <w:rPr>
          <w:rFonts w:hint="eastAsia" w:ascii="黑体" w:hAnsi="黑体" w:eastAsia="黑体" w:cs="黑体"/>
          <w:bCs/>
          <w:color w:val="auto"/>
          <w:sz w:val="24"/>
          <w:szCs w:val="21"/>
          <w:highlight w:val="none"/>
        </w:rPr>
        <w:t xml:space="preserve">企业</w:t>
      </w:r>
      <w:r>
        <w:rPr>
          <w:rFonts w:hint="eastAsia" w:ascii="黑体" w:hAnsi="黑体" w:eastAsia="黑体" w:cs="黑体"/>
          <w:color w:val="auto"/>
          <w:sz w:val="24"/>
          <w:szCs w:val="21"/>
          <w:highlight w:val="none"/>
        </w:rPr>
        <w:t xml:space="preserve">，应当符合以下条件：</w:t>
      </w:r>
      <w:r/>
    </w:p>
    <w:p>
      <w:pPr>
        <w:ind w:firstLine="480"/>
        <w:keepLines w:val="0"/>
        <w:keepNext w:val="0"/>
        <w:pageBreakBefore w:val="0"/>
        <w:spacing w:line="360" w:lineRule="exact"/>
        <w:widowControl w:val="off"/>
        <w:rPr>
          <w:rFonts w:hint="eastAsia" w:ascii="黑体" w:hAnsi="黑体" w:eastAsia="黑体" w:cs="黑体"/>
          <w:color w:val="auto"/>
          <w:sz w:val="24"/>
          <w:szCs w:val="24"/>
          <w:highlight w:val="none"/>
        </w:rPr>
      </w:pPr>
      <w:r>
        <w:rPr>
          <w:rFonts w:hint="eastAsia" w:ascii="黑体" w:hAnsi="黑体" w:eastAsia="黑体" w:cs="黑体"/>
          <w:bCs/>
          <w:color w:val="auto"/>
          <w:sz w:val="24"/>
          <w:szCs w:val="21"/>
          <w:highlight w:val="none"/>
        </w:rPr>
        <w:t xml:space="preserve">中小企业</w:t>
      </w:r>
      <w:r>
        <w:rPr>
          <w:rFonts w:hint="eastAsia" w:ascii="黑体" w:hAnsi="黑体" w:eastAsia="黑体" w:cs="黑体"/>
          <w:bCs/>
          <w:color w:val="auto"/>
          <w:sz w:val="24"/>
          <w:szCs w:val="21"/>
          <w:highlight w:val="none"/>
          <w:lang w:val="en-US" w:eastAsia="zh-CN"/>
        </w:rPr>
        <w:t xml:space="preserve">需满足的条件</w:t>
      </w:r>
      <w:r>
        <w:rPr>
          <w:rFonts w:hint="eastAsia" w:ascii="黑体" w:hAnsi="黑体" w:eastAsia="黑体" w:cs="黑体"/>
          <w:color w:val="auto"/>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keepLines w:val="0"/>
        <w:keepNext w:val="0"/>
        <w:pageBreakBefore w:val="0"/>
        <w:spacing w:line="360" w:lineRule="exact"/>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投标人为监狱企业的，</w:t>
      </w:r>
      <w:r>
        <w:rPr>
          <w:rFonts w:hint="eastAsia" w:ascii="黑体" w:hAnsi="黑体" w:eastAsia="黑体" w:cs="黑体"/>
          <w:color w:val="auto"/>
          <w:sz w:val="24"/>
          <w:szCs w:val="24"/>
          <w:highlight w:val="none"/>
          <w:lang w:val="en-US" w:eastAsia="zh-CN"/>
        </w:rPr>
        <w:t xml:space="preserve">视同小微企业，</w:t>
      </w:r>
      <w:r>
        <w:rPr>
          <w:rFonts w:hint="eastAsia" w:ascii="黑体" w:hAnsi="黑体" w:eastAsia="黑体" w:cs="黑体"/>
          <w:color w:val="auto"/>
          <w:sz w:val="24"/>
          <w:szCs w:val="24"/>
          <w:highlight w:val="none"/>
        </w:rPr>
        <w:t xml:space="preserve">提供省级以上监狱管理局、戒毒管理局（含新疆生产建设兵团）出具的属于监狱企业的证明文件原件扫描件。具体以《财政部 司法部关于政府采购支持监狱企业发展有关问题的通知》（财库〔2014〕68号）的规定为准。</w:t>
      </w:r>
      <w:r/>
    </w:p>
    <w:p>
      <w:pPr>
        <w:ind w:firstLine="482"/>
        <w:jc w:val="left"/>
        <w:spacing w:line="360" w:lineRule="auto"/>
        <w:widowControl/>
        <w:rPr>
          <w:rFonts w:hint="eastAsia" w:ascii="黑体" w:hAnsi="黑体" w:eastAsia="黑体" w:cs="黑体"/>
          <w:color w:val="auto"/>
          <w:sz w:val="24"/>
          <w:szCs w:val="20"/>
          <w:highlight w:val="none"/>
        </w:rPr>
      </w:pPr>
      <w:r>
        <w:rPr>
          <w:rFonts w:hint="eastAsia" w:ascii="黑体" w:hAnsi="黑体" w:eastAsia="黑体" w:cs="黑体"/>
          <w:color w:val="auto"/>
          <w:sz w:val="24"/>
          <w:szCs w:val="24"/>
          <w:highlight w:val="none"/>
        </w:rPr>
        <w:t xml:space="preserve">投标人为残疾人福利性单位的，</w:t>
      </w:r>
      <w:r>
        <w:rPr>
          <w:rFonts w:hint="eastAsia" w:ascii="黑体" w:hAnsi="黑体" w:eastAsia="黑体" w:cs="黑体"/>
          <w:color w:val="auto"/>
          <w:sz w:val="24"/>
          <w:szCs w:val="24"/>
          <w:highlight w:val="none"/>
          <w:lang w:val="en-US" w:eastAsia="zh-CN"/>
        </w:rPr>
        <w:t xml:space="preserve">视同小微企业，</w:t>
      </w:r>
      <w:r>
        <w:rPr>
          <w:rFonts w:hint="eastAsia" w:ascii="黑体" w:hAnsi="黑体" w:eastAsia="黑体" w:cs="黑体"/>
          <w:color w:val="auto"/>
          <w:sz w:val="24"/>
          <w:szCs w:val="24"/>
          <w:highlight w:val="none"/>
        </w:rPr>
        <w:t xml:space="preserve">提供《残疾人福利性单位声明函》（加盖电子签章，格式见</w:t>
      </w:r>
      <w:r>
        <w:rPr>
          <w:rFonts w:hint="eastAsia" w:ascii="黑体" w:hAnsi="黑体" w:eastAsia="黑体" w:cs="黑体"/>
          <w:color w:val="auto"/>
          <w:sz w:val="24"/>
          <w:szCs w:val="24"/>
          <w:highlight w:val="none"/>
          <w:lang w:eastAsia="zh-CN"/>
        </w:rPr>
        <w:t xml:space="preserve">《响应文件相关格式》</w:t>
      </w:r>
      <w:r>
        <w:rPr>
          <w:rFonts w:hint="eastAsia" w:ascii="黑体" w:hAnsi="黑体" w:eastAsia="黑体" w:cs="黑体"/>
          <w:color w:val="auto"/>
          <w:sz w:val="24"/>
          <w:szCs w:val="24"/>
          <w:highlight w:val="none"/>
        </w:rPr>
        <w:t xml:space="preserve">）</w:t>
      </w:r>
      <w:r>
        <w:rPr>
          <w:rFonts w:hint="eastAsia" w:ascii="黑体" w:hAnsi="黑体" w:eastAsia="黑体" w:cs="黑体"/>
          <w:color w:val="auto"/>
          <w:sz w:val="24"/>
          <w:szCs w:val="24"/>
          <w:highlight w:val="none"/>
          <w:lang w:eastAsia="zh-CN"/>
        </w:rPr>
        <w:t xml:space="preserve">。</w:t>
      </w:r>
      <w:r>
        <w:rPr>
          <w:rFonts w:hint="eastAsia" w:ascii="黑体" w:hAnsi="黑体" w:eastAsia="黑体" w:cs="黑体"/>
          <w:color w:val="auto"/>
          <w:sz w:val="24"/>
          <w:szCs w:val="24"/>
          <w:highlight w:val="none"/>
        </w:rPr>
        <w:t xml:space="preserve">具体以《三部门联合发布关于促进残疾人就业政府采购政策的通知》（财库〔2017〕141号）规定为准</w:t>
      </w:r>
      <w:r>
        <w:rPr>
          <w:rFonts w:hint="eastAsia" w:ascii="黑体" w:hAnsi="黑体" w:eastAsia="黑体" w:cs="黑体"/>
          <w:color w:val="auto"/>
          <w:sz w:val="24"/>
          <w:szCs w:val="20"/>
          <w:highlight w:val="none"/>
        </w:rPr>
        <w:t xml:space="preserve">。</w:t>
      </w:r>
      <w:r/>
    </w:p>
    <w:p>
      <w:pPr>
        <w:ind w:firstLine="482"/>
        <w:jc w:val="left"/>
        <w:spacing w:line="360" w:lineRule="auto"/>
        <w:widowControl/>
        <w:rPr>
          <w:rFonts w:hint="eastAsia" w:ascii="黑体" w:hAnsi="黑体" w:eastAsia="黑体" w:cs="黑体"/>
          <w:color w:val="auto"/>
          <w:sz w:val="24"/>
          <w:szCs w:val="20"/>
          <w:highlight w:val="none"/>
        </w:rPr>
      </w:pPr>
      <w:r>
        <w:rPr>
          <w:rFonts w:hint="eastAsia" w:ascii="黑体" w:hAnsi="黑体" w:eastAsia="黑体" w:cs="黑体"/>
          <w:color w:val="auto"/>
          <w:sz w:val="24"/>
          <w:szCs w:val="20"/>
          <w:highlight w:val="none"/>
        </w:rPr>
        <w:t xml:space="preserve">8、项目不接受联合体参与采购活动。</w:t>
      </w:r>
      <w:r/>
    </w:p>
    <w:p>
      <w:pPr>
        <w:jc w:val="left"/>
        <w:spacing w:line="360" w:lineRule="auto"/>
        <w:widowControl/>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（三）符合性审查条件（必须提供，否则</w:t>
      </w:r>
      <w:r>
        <w:rPr>
          <w:rFonts w:hint="eastAsia" w:ascii="黑体" w:hAnsi="黑体" w:eastAsia="黑体" w:cs="黑体"/>
          <w:b/>
          <w:color w:val="auto"/>
          <w:sz w:val="24"/>
          <w:szCs w:val="24"/>
          <w:highlight w:val="none"/>
        </w:rPr>
        <w:t xml:space="preserve">响应无效</w:t>
      </w:r>
      <w:r>
        <w:rPr>
          <w:rFonts w:hint="eastAsia" w:ascii="黑体" w:hAnsi="黑体" w:eastAsia="黑体" w:cs="黑体"/>
          <w:b/>
          <w:bCs/>
          <w:color w:val="auto"/>
          <w:sz w:val="24"/>
          <w:szCs w:val="24"/>
          <w:highlight w:val="none"/>
        </w:rPr>
        <w:t xml:space="preserve">）</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1、《承诺书》（加盖电子签章，格式</w:t>
      </w:r>
      <w:r>
        <w:rPr>
          <w:rFonts w:hint="eastAsia" w:ascii="黑体" w:hAnsi="黑体" w:eastAsia="黑体" w:cs="黑体"/>
          <w:color w:val="auto"/>
          <w:sz w:val="24"/>
          <w:szCs w:val="24"/>
          <w:highlight w:val="none"/>
          <w:lang w:eastAsia="zh-CN"/>
        </w:rPr>
        <w:t xml:space="preserve">见《响应文件相关格式》</w:t>
      </w:r>
      <w:r>
        <w:rPr>
          <w:rFonts w:hint="eastAsia" w:ascii="黑体" w:hAnsi="黑体" w:eastAsia="黑体" w:cs="黑体"/>
          <w:color w:val="auto"/>
          <w:sz w:val="24"/>
          <w:szCs w:val="24"/>
          <w:highlight w:val="none"/>
        </w:rPr>
        <w:t xml:space="preserve">）（必须提供，否则响应无效）；</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2、《磋商报价表》</w:t>
      </w:r>
      <w:r>
        <w:rPr>
          <w:rFonts w:hint="eastAsia" w:ascii="黑体" w:hAnsi="黑体" w:eastAsia="黑体" w:cs="黑体"/>
          <w:color w:val="auto"/>
          <w:sz w:val="24"/>
          <w:szCs w:val="20"/>
          <w:highlight w:val="none"/>
        </w:rPr>
        <w:t xml:space="preserve">（加盖电子签章，格式见《</w:t>
      </w:r>
      <w:r>
        <w:rPr>
          <w:rFonts w:hint="eastAsia" w:ascii="黑体" w:hAnsi="黑体" w:eastAsia="黑体" w:cs="黑体"/>
          <w:color w:val="auto"/>
          <w:sz w:val="24"/>
          <w:szCs w:val="20"/>
          <w:highlight w:val="none"/>
          <w:lang w:val="en-US" w:eastAsia="zh-CN"/>
        </w:rPr>
        <w:t xml:space="preserve">响应文件相关格式</w:t>
      </w:r>
      <w:r>
        <w:rPr>
          <w:rFonts w:hint="eastAsia" w:ascii="黑体" w:hAnsi="黑体" w:eastAsia="黑体" w:cs="黑体"/>
          <w:color w:val="auto"/>
          <w:sz w:val="24"/>
          <w:szCs w:val="20"/>
          <w:highlight w:val="none"/>
        </w:rPr>
        <w:t xml:space="preserve">》</w:t>
      </w:r>
      <w:r>
        <w:rPr>
          <w:rFonts w:hint="eastAsia" w:ascii="黑体" w:hAnsi="黑体" w:eastAsia="黑体" w:cs="黑体"/>
          <w:color w:val="auto"/>
          <w:sz w:val="24"/>
          <w:szCs w:val="20"/>
          <w:highlight w:val="none"/>
          <w:lang w:eastAsia="zh-CN"/>
        </w:rPr>
        <w:t xml:space="preserve">，</w:t>
      </w:r>
      <w:r>
        <w:rPr>
          <w:rFonts w:hint="eastAsia" w:ascii="黑体" w:hAnsi="黑体" w:eastAsia="黑体" w:cs="黑体"/>
          <w:color w:val="auto"/>
          <w:sz w:val="24"/>
          <w:szCs w:val="20"/>
          <w:highlight w:val="none"/>
          <w:lang w:val="en-US" w:eastAsia="zh-CN"/>
        </w:rPr>
        <w:t xml:space="preserve">或</w:t>
      </w:r>
      <w:r>
        <w:rPr>
          <w:rFonts w:hint="eastAsia" w:ascii="黑体" w:hAnsi="黑体" w:eastAsia="黑体" w:cs="黑体"/>
          <w:bCs/>
          <w:color w:val="auto"/>
          <w:sz w:val="24"/>
          <w:szCs w:val="20"/>
          <w:highlight w:val="none"/>
        </w:rPr>
        <w:t xml:space="preserve">政府采购客户端工具输入报价自动生成）</w:t>
      </w:r>
      <w:r>
        <w:rPr>
          <w:rFonts w:hint="eastAsia" w:ascii="黑体" w:hAnsi="黑体" w:eastAsia="黑体" w:cs="黑体"/>
          <w:bCs/>
          <w:color w:val="auto"/>
          <w:sz w:val="24"/>
          <w:szCs w:val="20"/>
          <w:highlight w:val="none"/>
          <w:lang w:eastAsia="zh-CN"/>
        </w:rPr>
        <w:t xml:space="preserve">，</w:t>
      </w:r>
      <w:r>
        <w:rPr>
          <w:rFonts w:hint="eastAsia" w:ascii="黑体" w:hAnsi="黑体" w:eastAsia="黑体" w:cs="黑体"/>
          <w:bCs/>
          <w:color w:val="auto"/>
          <w:sz w:val="24"/>
          <w:szCs w:val="20"/>
          <w:highlight w:val="none"/>
        </w:rPr>
        <w:t xml:space="preserve">但首次报价必须相同）</w:t>
      </w:r>
      <w:r>
        <w:rPr>
          <w:rFonts w:hint="eastAsia" w:ascii="黑体" w:hAnsi="黑体" w:eastAsia="黑体" w:cs="黑体"/>
          <w:color w:val="auto"/>
          <w:sz w:val="24"/>
          <w:szCs w:val="24"/>
          <w:highlight w:val="none"/>
        </w:rPr>
        <w:t xml:space="preserve">；</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3、《</w:t>
      </w:r>
      <w:r>
        <w:rPr>
          <w:rFonts w:hint="eastAsia" w:ascii="黑体" w:hAnsi="黑体" w:eastAsia="黑体" w:cs="黑体"/>
          <w:color w:val="auto"/>
          <w:sz w:val="24"/>
          <w:szCs w:val="24"/>
          <w:highlight w:val="none"/>
          <w:lang w:val="en-US" w:eastAsia="zh-CN"/>
        </w:rPr>
        <w:t xml:space="preserve">投标</w:t>
      </w:r>
      <w:r>
        <w:rPr>
          <w:rFonts w:hint="eastAsia" w:ascii="黑体" w:hAnsi="黑体" w:eastAsia="黑体" w:cs="黑体"/>
          <w:color w:val="auto"/>
          <w:sz w:val="24"/>
          <w:szCs w:val="24"/>
          <w:highlight w:val="none"/>
        </w:rPr>
        <w:t xml:space="preserve">承诺书》（加盖电子签章，格式</w:t>
      </w:r>
      <w:r>
        <w:rPr>
          <w:rFonts w:hint="eastAsia" w:ascii="黑体" w:hAnsi="黑体" w:eastAsia="黑体" w:cs="黑体"/>
          <w:color w:val="auto"/>
          <w:sz w:val="24"/>
          <w:szCs w:val="24"/>
          <w:highlight w:val="none"/>
          <w:lang w:eastAsia="zh-CN"/>
        </w:rPr>
        <w:t xml:space="preserve">见《响应文件相关格式》</w:t>
      </w:r>
      <w:r>
        <w:rPr>
          <w:rFonts w:hint="eastAsia" w:ascii="黑体" w:hAnsi="黑体" w:eastAsia="黑体" w:cs="黑体"/>
          <w:color w:val="auto"/>
          <w:sz w:val="24"/>
          <w:szCs w:val="24"/>
          <w:highlight w:val="none"/>
        </w:rPr>
        <w:t xml:space="preserve">）（必须提供，否则响应无效）</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4、《偏离表》（必须提供，否则响应无效）（加盖电子签章，格式</w:t>
      </w:r>
      <w:r>
        <w:rPr>
          <w:rFonts w:hint="eastAsia" w:ascii="黑体" w:hAnsi="黑体" w:eastAsia="黑体" w:cs="黑体"/>
          <w:color w:val="auto"/>
          <w:sz w:val="24"/>
          <w:szCs w:val="24"/>
          <w:highlight w:val="none"/>
          <w:lang w:eastAsia="zh-CN"/>
        </w:rPr>
        <w:t xml:space="preserve">见《响应文件相关格式》</w:t>
      </w:r>
      <w:r>
        <w:rPr>
          <w:rFonts w:hint="eastAsia" w:ascii="黑体" w:hAnsi="黑体" w:eastAsia="黑体" w:cs="黑体"/>
          <w:color w:val="auto"/>
          <w:sz w:val="24"/>
          <w:szCs w:val="24"/>
          <w:highlight w:val="none"/>
        </w:rPr>
        <w:t xml:space="preserve">）；</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5、《授权委托书》（加盖电子签章，格式</w:t>
      </w:r>
      <w:r>
        <w:rPr>
          <w:rFonts w:hint="eastAsia" w:ascii="黑体" w:hAnsi="黑体" w:eastAsia="黑体" w:cs="黑体"/>
          <w:color w:val="auto"/>
          <w:sz w:val="24"/>
          <w:szCs w:val="24"/>
          <w:highlight w:val="none"/>
          <w:lang w:eastAsia="zh-CN"/>
        </w:rPr>
        <w:t xml:space="preserve">见《响应文件相关格式》</w:t>
      </w:r>
      <w:r>
        <w:rPr>
          <w:rFonts w:hint="eastAsia" w:ascii="黑体" w:hAnsi="黑体" w:eastAsia="黑体" w:cs="黑体"/>
          <w:color w:val="auto"/>
          <w:sz w:val="24"/>
          <w:szCs w:val="24"/>
          <w:highlight w:val="none"/>
        </w:rPr>
        <w:t xml:space="preserve">）（必须提供，否则响应无效）；</w:t>
      </w:r>
      <w:r>
        <w:rPr>
          <w:rFonts w:hint="eastAsia" w:ascii="黑体" w:hAnsi="黑体" w:eastAsia="黑体" w:cs="黑体"/>
          <w:b/>
          <w:bCs/>
          <w:color w:val="auto"/>
          <w:sz w:val="24"/>
          <w:szCs w:val="24"/>
          <w:highlight w:val="none"/>
        </w:rPr>
        <w:t xml:space="preserve">授权委托书中受托人身份证复印件（必须提供，否则响应无效）</w:t>
      </w:r>
      <w:r>
        <w:rPr>
          <w:rFonts w:hint="eastAsia" w:ascii="黑体" w:hAnsi="黑体" w:eastAsia="黑体" w:cs="黑体"/>
          <w:color w:val="auto"/>
          <w:sz w:val="24"/>
          <w:szCs w:val="24"/>
          <w:highlight w:val="none"/>
        </w:rPr>
        <w:t xml:space="preserve">；</w:t>
      </w:r>
      <w:r/>
    </w:p>
    <w:p>
      <w:pPr>
        <w:jc w:val="left"/>
        <w:spacing w:line="360" w:lineRule="auto"/>
        <w:widowControl/>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（四）综合评审评分项</w:t>
      </w:r>
      <w:r/>
    </w:p>
    <w:p>
      <w:pPr>
        <w:ind w:firstLine="42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1、技术部分</w:t>
      </w:r>
      <w:r/>
    </w:p>
    <w:p>
      <w:pPr>
        <w:ind w:firstLine="42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要求见《磋商文件》第七章《评分细则》及第八章《项目要求（采购需求）》</w:t>
      </w:r>
      <w:r/>
    </w:p>
    <w:p>
      <w:pPr>
        <w:ind w:firstLine="42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2、商务部分</w:t>
      </w:r>
      <w:r/>
    </w:p>
    <w:p>
      <w:pPr>
        <w:ind w:firstLine="42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要求见《磋商文件》第七章《评分细则》；</w:t>
      </w:r>
      <w:r/>
    </w:p>
    <w:p>
      <w:pPr>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b/>
          <w:bCs/>
          <w:color w:val="auto"/>
          <w:sz w:val="24"/>
          <w:szCs w:val="24"/>
          <w:highlight w:val="none"/>
        </w:rPr>
        <w:t xml:space="preserve">（五）价格折扣文件</w:t>
      </w:r>
      <w:r>
        <w:rPr>
          <w:rFonts w:hint="eastAsia" w:ascii="黑体" w:hAnsi="黑体" w:eastAsia="黑体" w:cs="黑体"/>
          <w:color w:val="auto"/>
          <w:sz w:val="24"/>
          <w:szCs w:val="24"/>
          <w:highlight w:val="none"/>
        </w:rPr>
        <w:t xml:space="preserve"> ：无。</w:t>
      </w:r>
      <w:r/>
    </w:p>
    <w:p>
      <w:pPr>
        <w:jc w:val="left"/>
        <w:spacing w:line="360" w:lineRule="auto"/>
        <w:widowControl/>
        <w:rPr>
          <w:rFonts w:hint="eastAsia" w:ascii="黑体" w:hAnsi="黑体" w:eastAsia="黑体" w:cs="黑体"/>
          <w:b/>
          <w:color w:val="auto"/>
          <w:sz w:val="24"/>
          <w:szCs w:val="24"/>
          <w:highlight w:val="none"/>
        </w:rPr>
      </w:pPr>
      <w:r>
        <w:rPr>
          <w:rFonts w:hint="eastAsia" w:ascii="黑体" w:hAnsi="黑体" w:eastAsia="黑体" w:cs="黑体"/>
          <w:b/>
          <w:color w:val="auto"/>
          <w:sz w:val="24"/>
          <w:szCs w:val="24"/>
          <w:highlight w:val="none"/>
        </w:rPr>
        <w:t xml:space="preserve">十三、提交的首次响应文件的密封、签署、盖章要求：</w:t>
      </w:r>
      <w:r/>
    </w:p>
    <w:p>
      <w:pPr>
        <w:ind w:firstLine="482"/>
        <w:jc w:val="left"/>
        <w:spacing w:line="360" w:lineRule="auto"/>
        <w:widowControl/>
        <w:rPr>
          <w:rFonts w:hint="eastAsia" w:ascii="黑体" w:hAnsi="黑体" w:eastAsia="黑体" w:cs="黑体"/>
          <w:b/>
          <w:color w:val="auto"/>
          <w:sz w:val="24"/>
          <w:szCs w:val="24"/>
          <w:highlight w:val="none"/>
        </w:rPr>
      </w:pPr>
      <w:r>
        <w:rPr>
          <w:rFonts w:hint="eastAsia" w:ascii="黑体" w:hAnsi="黑体" w:eastAsia="黑体" w:cs="黑体"/>
          <w:b/>
          <w:color w:val="auto"/>
          <w:sz w:val="24"/>
          <w:szCs w:val="24"/>
          <w:highlight w:val="none"/>
        </w:rPr>
        <w:t xml:space="preserve">1、密封（加密）要求：</w:t>
      </w:r>
      <w:r/>
    </w:p>
    <w:p>
      <w:pPr>
        <w:ind w:firstLine="480"/>
        <w:jc w:val="left"/>
        <w:spacing w:line="360" w:lineRule="auto"/>
        <w:widowControl/>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2"/>
        <w:jc w:val="left"/>
        <w:spacing w:line="360" w:lineRule="auto"/>
        <w:widowControl/>
        <w:rPr>
          <w:rFonts w:hint="eastAsia" w:ascii="黑体" w:hAnsi="黑体" w:eastAsia="黑体" w:cs="黑体"/>
          <w:bCs/>
          <w:color w:val="auto"/>
          <w:sz w:val="24"/>
          <w:szCs w:val="24"/>
          <w:highlight w:val="none"/>
        </w:rPr>
      </w:pPr>
      <w:r>
        <w:rPr>
          <w:rFonts w:hint="eastAsia" w:ascii="黑体" w:hAnsi="黑体" w:eastAsia="黑体" w:cs="黑体"/>
          <w:b/>
          <w:color w:val="auto"/>
          <w:sz w:val="24"/>
          <w:szCs w:val="24"/>
          <w:highlight w:val="none"/>
        </w:rPr>
        <w:t xml:space="preserve">2、签署要求：</w:t>
      </w:r>
      <w:r>
        <w:rPr>
          <w:rFonts w:hint="eastAsia" w:ascii="黑体" w:hAnsi="黑体" w:eastAsia="黑体" w:cs="黑体"/>
          <w:bCs/>
          <w:color w:val="auto"/>
          <w:sz w:val="24"/>
          <w:szCs w:val="24"/>
          <w:highlight w:val="none"/>
        </w:rPr>
        <w:t xml:space="preserve">见《磋商文件》第九章</w:t>
      </w:r>
      <w:r>
        <w:rPr>
          <w:rFonts w:hint="eastAsia" w:ascii="黑体" w:hAnsi="黑体" w:eastAsia="黑体" w:cs="黑体"/>
          <w:color w:val="auto"/>
          <w:sz w:val="24"/>
          <w:szCs w:val="24"/>
          <w:highlight w:val="none"/>
          <w:lang w:eastAsia="zh-CN"/>
        </w:rPr>
        <w:t xml:space="preserve">《响应文件相关格式》</w:t>
      </w:r>
      <w:r>
        <w:rPr>
          <w:rFonts w:hint="eastAsia" w:ascii="黑体" w:hAnsi="黑体" w:eastAsia="黑体" w:cs="黑体"/>
          <w:bCs/>
          <w:color w:val="auto"/>
          <w:sz w:val="24"/>
          <w:szCs w:val="24"/>
          <w:highlight w:val="none"/>
        </w:rPr>
        <w:t xml:space="preserve">要求。</w:t>
      </w:r>
      <w:r/>
    </w:p>
    <w:p>
      <w:pPr>
        <w:ind w:firstLine="482"/>
        <w:jc w:val="left"/>
        <w:spacing w:line="360" w:lineRule="auto"/>
        <w:widowControl/>
        <w:rPr>
          <w:rFonts w:hint="eastAsia" w:ascii="黑体" w:hAnsi="黑体" w:eastAsia="黑体" w:cs="黑体"/>
          <w:b/>
          <w:color w:val="auto"/>
          <w:sz w:val="24"/>
          <w:szCs w:val="24"/>
          <w:highlight w:val="none"/>
        </w:rPr>
      </w:pPr>
      <w:r>
        <w:rPr>
          <w:rFonts w:hint="eastAsia" w:ascii="黑体" w:hAnsi="黑体" w:eastAsia="黑体" w:cs="黑体"/>
          <w:b/>
          <w:bCs/>
          <w:color w:val="auto"/>
          <w:sz w:val="24"/>
          <w:szCs w:val="24"/>
          <w:highlight w:val="none"/>
        </w:rPr>
        <w:t xml:space="preserve">特别提醒：竞争性磋商文件中如需“被授权代表签字或盖章”，供应商可打印成文档，签字或盖章后再扫描上传，最后再电子签章。</w:t>
      </w:r>
      <w:r/>
    </w:p>
    <w:p>
      <w:pPr>
        <w:ind w:firstLine="482"/>
        <w:jc w:val="left"/>
        <w:spacing w:line="360" w:lineRule="auto"/>
        <w:widowControl/>
        <w:rPr>
          <w:rFonts w:hint="eastAsia" w:ascii="黑体" w:hAnsi="黑体" w:eastAsia="黑体" w:cs="黑体"/>
          <w:bCs/>
          <w:color w:val="auto"/>
          <w:sz w:val="24"/>
          <w:szCs w:val="24"/>
          <w:highlight w:val="none"/>
        </w:rPr>
      </w:pPr>
      <w:r>
        <w:rPr>
          <w:rFonts w:hint="eastAsia" w:ascii="黑体" w:hAnsi="黑体" w:eastAsia="黑体" w:cs="黑体"/>
          <w:b/>
          <w:color w:val="auto"/>
          <w:sz w:val="24"/>
          <w:szCs w:val="24"/>
          <w:highlight w:val="none"/>
        </w:rPr>
        <w:t xml:space="preserve">3、盖章要求：</w:t>
      </w:r>
      <w:r>
        <w:rPr>
          <w:rFonts w:hint="eastAsia" w:ascii="黑体" w:hAnsi="黑体" w:eastAsia="黑体" w:cs="黑体"/>
          <w:bCs/>
          <w:color w:val="auto"/>
          <w:sz w:val="24"/>
          <w:szCs w:val="24"/>
          <w:highlight w:val="none"/>
        </w:rPr>
        <w:t xml:space="preserve">见《磋商文件》第九章</w:t>
      </w:r>
      <w:r>
        <w:rPr>
          <w:rFonts w:hint="eastAsia" w:ascii="黑体" w:hAnsi="黑体" w:eastAsia="黑体" w:cs="黑体"/>
          <w:color w:val="auto"/>
          <w:sz w:val="24"/>
          <w:szCs w:val="24"/>
          <w:highlight w:val="none"/>
          <w:lang w:eastAsia="zh-CN"/>
        </w:rPr>
        <w:t xml:space="preserve">《响应文件相关格式》</w:t>
      </w:r>
      <w:r>
        <w:rPr>
          <w:rFonts w:hint="eastAsia" w:ascii="黑体" w:hAnsi="黑体" w:eastAsia="黑体" w:cs="黑体"/>
          <w:bCs/>
          <w:color w:val="auto"/>
          <w:sz w:val="24"/>
          <w:szCs w:val="24"/>
          <w:highlight w:val="none"/>
        </w:rPr>
        <w:t xml:space="preserve">要求。供应商须通过“苏采云”系统提供的政府采购客户端工具（使用“CA数字证书”）加盖电子签章。</w:t>
      </w:r>
      <w:r/>
    </w:p>
    <w:p>
      <w:pPr>
        <w:ind w:firstLine="482"/>
        <w:jc w:val="left"/>
        <w:spacing w:line="360" w:lineRule="auto"/>
        <w:widowControl/>
        <w:rPr>
          <w:rFonts w:hint="eastAsia" w:ascii="黑体" w:hAnsi="黑体" w:eastAsia="黑体" w:cs="黑体"/>
          <w:b/>
          <w:color w:val="auto"/>
          <w:sz w:val="24"/>
          <w:szCs w:val="24"/>
          <w:highlight w:val="none"/>
        </w:rPr>
      </w:pPr>
      <w:r>
        <w:rPr>
          <w:rFonts w:hint="eastAsia" w:ascii="黑体" w:hAnsi="黑体" w:eastAsia="黑体" w:cs="黑体"/>
          <w:b/>
          <w:color w:val="auto"/>
          <w:sz w:val="24"/>
          <w:szCs w:val="24"/>
          <w:highlight w:val="none"/>
        </w:rPr>
        <w:t xml:space="preserve">4、说明：通过“苏采云”系统提交政府采购客户端工具导出加密的响应文件（后缀名为zip）。响应文件不得超</w:t>
      </w:r>
      <w:r>
        <w:rPr>
          <w:rFonts w:hint="eastAsia" w:ascii="黑体" w:hAnsi="黑体" w:eastAsia="黑体" w:cs="黑体"/>
          <w:b/>
          <w:bCs/>
          <w:color w:val="auto"/>
          <w:sz w:val="24"/>
          <w:szCs w:val="24"/>
          <w:highlight w:val="none"/>
        </w:rPr>
        <w:t xml:space="preserve">过150M！（以系统为准） </w:t>
      </w:r>
      <w:r/>
    </w:p>
    <w:p>
      <w:pPr>
        <w:ind w:firstLine="482"/>
        <w:jc w:val="left"/>
        <w:spacing w:line="360" w:lineRule="auto"/>
        <w:widowControl/>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5、特别说明：</w:t>
      </w:r>
      <w:r/>
    </w:p>
    <w:p>
      <w:pPr>
        <w:ind w:firstLine="480"/>
        <w:jc w:val="left"/>
        <w:spacing w:line="360" w:lineRule="auto"/>
        <w:widowControl/>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5.1供应商应当按照《磋商文件》的要求编制响应文件，并对其提交的响应文件的真实性、合法性承担法律责任。</w:t>
      </w:r>
      <w:r/>
    </w:p>
    <w:p>
      <w:pPr>
        <w:ind w:firstLine="480"/>
        <w:jc w:val="left"/>
        <w:keepLines w:val="0"/>
        <w:keepNext w:val="0"/>
        <w:pageBreakBefore w:val="0"/>
        <w:spacing w:line="360" w:lineRule="auto"/>
        <w:widowControl/>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5.2供应商中标（成交）后，须向代理机构提供</w:t>
      </w:r>
      <w:bookmarkStart w:id="9" w:name="_Hlk105221193"/>
      <w:r>
        <w:rPr>
          <w:rFonts w:hint="eastAsia" w:ascii="黑体" w:hAnsi="黑体" w:eastAsia="黑体" w:cs="黑体"/>
          <w:bCs/>
          <w:color w:val="auto"/>
          <w:sz w:val="24"/>
          <w:szCs w:val="24"/>
          <w:highlight w:val="none"/>
        </w:rPr>
        <w:t xml:space="preserve">纸质版响应文件一正四副及电子响应文件（U盘）</w:t>
      </w:r>
      <w:bookmarkEnd w:id="9"/>
      <w:r>
        <w:rPr>
          <w:rFonts w:hint="eastAsia" w:ascii="黑体" w:hAnsi="黑体" w:eastAsia="黑体" w:cs="黑体"/>
          <w:bCs/>
          <w:color w:val="auto"/>
          <w:sz w:val="24"/>
          <w:szCs w:val="24"/>
          <w:highlight w:val="none"/>
        </w:rPr>
        <w:t xml:space="preserve">。采购人索取成交供应商的响应文件，须在双方签订政府采购合同后，由采购代理机构提供给采购人。</w:t>
      </w:r>
      <w:r/>
    </w:p>
    <w:p>
      <w:pPr>
        <w:jc w:val="center"/>
        <w:keepLines w:val="0"/>
        <w:keepNext w:val="0"/>
        <w:pageBreakBefore w:val="0"/>
        <w:spacing w:before="0" w:after="0" w:line="360" w:lineRule="auto"/>
        <w:widowControl w:val="off"/>
        <w:rPr>
          <w:rFonts w:hint="eastAsia" w:ascii="黑体" w:hAnsi="黑体" w:eastAsia="黑体" w:cs="黑体"/>
          <w:b/>
          <w:bCs/>
          <w:color w:val="auto"/>
          <w:sz w:val="44"/>
          <w:szCs w:val="40"/>
          <w:highlight w:val="none"/>
          <w:lang w:val="en-US" w:eastAsia="zh-CN" w:bidi="ar-SA"/>
        </w:rPr>
        <w:outlineLvl w:val="0"/>
      </w:pPr>
      <w:r/>
      <w:bookmarkStart w:id="10" w:name="_Toc11675"/>
      <w:r/>
      <w:bookmarkStart w:id="11" w:name="_Toc11874"/>
      <w:r/>
      <w:bookmarkStart w:id="12" w:name="_Toc80122285"/>
      <w:r>
        <w:rPr>
          <w:rFonts w:hint="eastAsia" w:ascii="黑体" w:hAnsi="黑体" w:eastAsia="黑体" w:cs="黑体"/>
          <w:b/>
          <w:bCs/>
          <w:color w:val="auto"/>
          <w:sz w:val="24"/>
          <w:szCs w:val="40"/>
          <w:highlight w:val="none"/>
          <w:lang w:val="en-US" w:eastAsia="zh-CN" w:bidi="ar-SA"/>
        </w:rPr>
        <w:t xml:space="preserve">第三章 磋商相关说明</w:t>
      </w:r>
      <w:bookmarkEnd w:id="10"/>
      <w:r/>
      <w:bookmarkEnd w:id="11"/>
      <w:r/>
      <w:bookmarkEnd w:id="12"/>
      <w:r/>
      <w:r/>
    </w:p>
    <w:p>
      <w:pPr>
        <w:jc w:val="left"/>
        <w:keepLines w:val="0"/>
        <w:keepNext w:val="0"/>
        <w:pageBreakBefore w:val="0"/>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十四、磋商要求</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1、被邀请参与磋商的供应商需按本竞争性磋商文件要求的截止时间、方式（地点）提交首次响应文件，同时派人通过“苏采云”系统在“开标大厅”等待磋商。</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2、供应商可通过CA数字证书，在首次响应文件开启时间后，使用CA数字证书在规定时间内解密各自响应文件。</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3、磋商顺序按照电子标书解密先后时间进行，解密时间相同的，不分先后顺序。</w:t>
      </w:r>
      <w:r/>
    </w:p>
    <w:p>
      <w:pPr>
        <w:ind w:firstLine="482"/>
        <w:spacing w:line="360" w:lineRule="auto"/>
        <w:widowControl/>
        <w:rPr>
          <w:rFonts w:hint="eastAsia" w:ascii="黑体" w:hAnsi="黑体" w:eastAsia="黑体" w:cs="黑体"/>
          <w:b/>
          <w:bCs/>
          <w:color w:val="auto"/>
          <w:sz w:val="24"/>
          <w:szCs w:val="24"/>
          <w:highlight w:val="none"/>
        </w:rPr>
      </w:pPr>
      <w:r>
        <w:rPr>
          <w:rFonts w:hint="eastAsia" w:ascii="黑体" w:hAnsi="黑体" w:eastAsia="黑体" w:cs="黑体"/>
          <w:color w:val="auto"/>
          <w:sz w:val="24"/>
          <w:szCs w:val="24"/>
          <w:highlight w:val="none"/>
        </w:rPr>
        <w:t xml:space="preserve">4、</w:t>
      </w:r>
      <w:r>
        <w:rPr>
          <w:rFonts w:hint="eastAsia" w:ascii="黑体" w:hAnsi="黑体" w:eastAsia="黑体" w:cs="黑体"/>
          <w:b/>
          <w:bCs/>
          <w:color w:val="auto"/>
          <w:sz w:val="24"/>
          <w:szCs w:val="24"/>
          <w:highlight w:val="none"/>
        </w:rPr>
        <w:t xml:space="preserve">磋商方式：本次磋商采用“苏采云”系统中的视频会议，供应商自行选择任意地点参加远程磋商会议。</w:t>
      </w:r>
      <w:r/>
    </w:p>
    <w:p>
      <w:pPr>
        <w:ind w:firstLine="482"/>
        <w:spacing w:line="360" w:lineRule="auto"/>
        <w:widowControl/>
        <w:rPr>
          <w:rFonts w:hint="eastAsia" w:ascii="黑体" w:hAnsi="黑体" w:eastAsia="黑体" w:cs="黑体"/>
          <w:b/>
          <w:color w:val="auto"/>
          <w:sz w:val="24"/>
          <w:szCs w:val="24"/>
          <w:highlight w:val="none"/>
        </w:rPr>
      </w:pPr>
      <w:r>
        <w:rPr>
          <w:rFonts w:hint="eastAsia" w:ascii="黑体" w:hAnsi="黑体" w:eastAsia="黑体" w:cs="黑体"/>
          <w:b/>
          <w:bCs/>
          <w:color w:val="auto"/>
          <w:sz w:val="24"/>
          <w:szCs w:val="24"/>
          <w:highlight w:val="none"/>
          <w:lang w:val="en-US" w:eastAsia="zh-CN"/>
        </w:rPr>
        <w:t xml:space="preserve">特别提醒:</w:t>
      </w:r>
      <w:r>
        <w:rPr>
          <w:rFonts w:hint="eastAsia" w:ascii="黑体" w:hAnsi="黑体" w:eastAsia="黑体" w:cs="黑体"/>
          <w:b/>
          <w:bCs/>
          <w:color w:val="auto"/>
          <w:sz w:val="24"/>
          <w:szCs w:val="24"/>
          <w:highlight w:val="none"/>
        </w:rPr>
        <w:t xml:space="preserve">请供应商</w:t>
      </w:r>
      <w:r>
        <w:rPr>
          <w:rFonts w:hint="eastAsia" w:ascii="黑体" w:hAnsi="黑体" w:eastAsia="黑体" w:cs="黑体"/>
          <w:b/>
          <w:bCs/>
          <w:color w:val="auto"/>
          <w:sz w:val="24"/>
          <w:szCs w:val="24"/>
          <w:highlight w:val="none"/>
          <w:lang w:val="en-US" w:eastAsia="zh-CN"/>
        </w:rPr>
        <w:t xml:space="preserve">务必</w:t>
      </w:r>
      <w:r>
        <w:rPr>
          <w:rFonts w:hint="eastAsia" w:ascii="黑体" w:hAnsi="黑体" w:eastAsia="黑体" w:cs="黑体"/>
          <w:b/>
          <w:bCs/>
          <w:color w:val="auto"/>
          <w:sz w:val="24"/>
          <w:szCs w:val="24"/>
          <w:highlight w:val="none"/>
        </w:rPr>
        <w:t xml:space="preserve">在磋商前等候在开标大厅，随时接听磋商小组发出的磋商视频邀请（所有邀请等待时间</w:t>
      </w:r>
      <w:r>
        <w:rPr>
          <w:rFonts w:hint="eastAsia" w:ascii="黑体" w:hAnsi="黑体" w:eastAsia="黑体" w:cs="黑体"/>
          <w:b/>
          <w:bCs/>
          <w:color w:val="auto"/>
          <w:sz w:val="24"/>
          <w:szCs w:val="24"/>
          <w:highlight w:val="none"/>
          <w:lang w:val="en-US" w:eastAsia="zh-CN"/>
        </w:rPr>
        <w:t xml:space="preserve">为</w:t>
      </w:r>
      <w:r>
        <w:rPr>
          <w:rFonts w:hint="eastAsia" w:ascii="黑体" w:hAnsi="黑体" w:eastAsia="黑体" w:cs="黑体"/>
          <w:b/>
          <w:bCs/>
          <w:color w:val="auto"/>
          <w:sz w:val="24"/>
          <w:szCs w:val="24"/>
          <w:highlight w:val="none"/>
        </w:rPr>
        <w:t xml:space="preserve">2分钟，2</w:t>
      </w:r>
      <w:r>
        <w:rPr>
          <w:rFonts w:hint="eastAsia" w:ascii="黑体" w:hAnsi="黑体" w:eastAsia="黑体" w:cs="黑体"/>
          <w:b/>
          <w:color w:val="auto"/>
          <w:sz w:val="24"/>
          <w:szCs w:val="24"/>
          <w:highlight w:val="none"/>
        </w:rPr>
        <w:t xml:space="preserve">分钟内所邀请供应商无响应，视同放弃磋商的权利，由解密顺序下一家进行磋商，不再后补）</w:t>
      </w:r>
      <w:r>
        <w:rPr>
          <w:rFonts w:hint="eastAsia" w:ascii="黑体" w:hAnsi="黑体" w:eastAsia="黑体" w:cs="黑体"/>
          <w:color w:val="auto"/>
          <w:sz w:val="24"/>
          <w:szCs w:val="24"/>
          <w:highlight w:val="none"/>
        </w:rPr>
        <w:t xml:space="preserve">。</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5、未在规定时间内进行答疑澄清的，视同放弃澄清。</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6、未在规定时间内进行报价的，视为响应无效。</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7、被邀请参与磋商的供应商如未按上述磋商要求执行，视同放弃磋商的权利。</w:t>
      </w:r>
      <w:r/>
    </w:p>
    <w:p>
      <w:pPr>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十五、评审方法和评审标准</w:t>
      </w:r>
      <w:r/>
    </w:p>
    <w:p>
      <w:pPr>
        <w:ind w:firstLine="478"/>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1、评审方法：综合评估法</w:t>
      </w:r>
      <w:r/>
    </w:p>
    <w:p>
      <w:pPr>
        <w:ind w:firstLine="478"/>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2、评审标准：详见《评分细则》</w:t>
      </w:r>
      <w:r/>
    </w:p>
    <w:p>
      <w:pPr>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十六、评审程序</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w:t>
      </w:r>
      <w:bookmarkStart w:id="13" w:name="OLE_LINK11"/>
      <w:r>
        <w:rPr>
          <w:rFonts w:hint="eastAsia" w:ascii="黑体" w:hAnsi="黑体" w:eastAsia="黑体" w:cs="黑体"/>
          <w:color w:val="auto"/>
          <w:sz w:val="24"/>
          <w:szCs w:val="24"/>
          <w:highlight w:val="none"/>
        </w:rPr>
        <w:t xml:space="preserve">磋商评审小组的组建：采购人组建。磋商小组成员构成：3 人。磋商小组确定方式：政府采购专家（从《江苏省政府采购专家库》随机抽取）</w:t>
      </w:r>
      <w:bookmarkEnd w:id="13"/>
      <w:r>
        <w:rPr>
          <w:rFonts w:hint="eastAsia" w:ascii="黑体" w:hAnsi="黑体" w:eastAsia="黑体" w:cs="黑体"/>
          <w:color w:val="auto"/>
          <w:sz w:val="24"/>
          <w:szCs w:val="24"/>
          <w:highlight w:val="none"/>
        </w:rPr>
        <w:t xml:space="preserve">。    </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2.1磋商小组要求供应商澄清、说明或者更正响应文件应当以书面形式作出。供应商的澄清、说明或者更正应当由法定代表人或其授权代表签字或者加盖公章。</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3、磋商小组所有成员应当集中与单一供应商分别进行磋商，并给予所有参加磋商的供应商平等的磋商机会。</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4、在磋商过程中，磋商小组可以根据磋商文件和磋商情况实质性变动采购需求中的技术、服务要求以及合同草案条款，但不得变动磋商文件中的其他内容。实质性变动的内容，须经采购人代表确认。</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4.1对磋商文件作出的实质性变动是磋商文件的有效组成部分，磋商小组应当及时以书面形式同时通知所有参加磋商的供应商。</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4.2供应商应当按照磋商文件的变动情况和磋商小组的要求重新提交响应文件，并由其法定代表人或授权代表签字或者加盖公章。</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5、磋商结束后，磋商进入报价环节，磋商小组应当要求所有参加磋商的供应商在规定时间内进行最后报价。供应商可按照磋商小组的要求在磋商现场进行</w:t>
      </w:r>
      <w:r>
        <w:rPr>
          <w:rFonts w:hint="eastAsia" w:ascii="黑体" w:hAnsi="黑体" w:eastAsia="黑体" w:cs="黑体"/>
          <w:color w:val="auto"/>
          <w:sz w:val="24"/>
          <w:szCs w:val="24"/>
          <w:highlight w:val="none"/>
          <w:lang w:val="en-US" w:eastAsia="zh-CN"/>
        </w:rPr>
        <w:t xml:space="preserve">二</w:t>
      </w:r>
      <w:r>
        <w:rPr>
          <w:rFonts w:hint="eastAsia" w:ascii="黑体" w:hAnsi="黑体" w:eastAsia="黑体" w:cs="黑体"/>
          <w:color w:val="auto"/>
          <w:sz w:val="24"/>
          <w:szCs w:val="24"/>
          <w:highlight w:val="none"/>
        </w:rPr>
        <w:t xml:space="preserve">次报价。本项目二次报价为最后报价。</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6、已提交响应文件的供应商，在提交最后报价之前，可以根据磋商情况退出磋商。</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7、经磋商确定最终采购需求和提交最后报价的供应商后，由磋商小组采用综合评分法对提交最后报价的供应商的响应文件和最后报价进行综合评分。</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8、磋商小组应当根据综合评分情况，按照评审得分由高到低顺序推荐3名成交候选供应商，并编写评审报告。评审得分相同的，按照最后报价由低到高的顺序推荐。评审得分且最后报价相同的，按照技术指标优劣（得分）顺序推荐。</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9、磋商小组认为供应商的报价明显低于其他供应商的报价，有可能影响产品质量、服务质量或者不能诚信履约的，应当要求其在评审现场合理的时间内提供书面说明，必要时提交相关实施政府采购异常低价审查的有关要求：</w:t>
      </w:r>
      <w:r/>
    </w:p>
    <w:p>
      <w:pPr>
        <w:ind w:firstLine="482"/>
        <w:jc w:val="left"/>
        <w:spacing w:line="360" w:lineRule="auto"/>
        <w:widowControl/>
        <w:rPr>
          <w:rFonts w:hint="eastAsia" w:ascii="黑体" w:hAnsi="黑体" w:eastAsia="黑体" w:cs="黑体"/>
          <w:color w:val="auto"/>
          <w:sz w:val="24"/>
          <w:szCs w:val="24"/>
          <w:highlight w:val="none"/>
          <w:lang w:eastAsia="zh-CN"/>
        </w:rPr>
      </w:pPr>
      <w:r/>
      <w:bookmarkStart w:id="14" w:name="OLE_LINK5"/>
      <w:r>
        <w:rPr>
          <w:rFonts w:hint="eastAsia" w:ascii="黑体" w:hAnsi="黑体" w:eastAsia="黑体" w:cs="黑体"/>
          <w:color w:val="auto"/>
          <w:sz w:val="24"/>
          <w:szCs w:val="24"/>
          <w:highlight w:val="none"/>
        </w:rPr>
        <w:t xml:space="preserve">（一）评审中出现下列情形之一的</w:t>
      </w:r>
      <w:r>
        <w:rPr>
          <w:rFonts w:hint="eastAsia" w:ascii="黑体" w:hAnsi="黑体" w:eastAsia="黑体" w:cs="黑体"/>
          <w:color w:val="auto"/>
          <w:sz w:val="24"/>
          <w:szCs w:val="24"/>
          <w:highlight w:val="none"/>
          <w:lang w:eastAsia="zh-CN"/>
        </w:rPr>
        <w:t xml:space="preserve">，磋商小组应当启动异常低价响应审查程序：</w:t>
      </w:r>
      <w:r/>
    </w:p>
    <w:p>
      <w:pPr>
        <w:ind w:firstLine="482"/>
        <w:jc w:val="left"/>
        <w:spacing w:line="360" w:lineRule="auto"/>
        <w:widowControl/>
        <w:rPr>
          <w:rFonts w:hint="eastAsia" w:ascii="黑体" w:hAnsi="黑体" w:eastAsia="黑体" w:cs="黑体"/>
          <w:color w:val="auto"/>
          <w:sz w:val="24"/>
          <w:szCs w:val="24"/>
          <w:highlight w:val="none"/>
          <w:lang w:eastAsia="zh-CN"/>
        </w:rPr>
      </w:pPr>
      <w:r>
        <w:rPr>
          <w:rFonts w:hint="eastAsia" w:ascii="黑体" w:hAnsi="黑体" w:eastAsia="黑体" w:cs="黑体"/>
          <w:color w:val="auto"/>
          <w:sz w:val="24"/>
          <w:szCs w:val="24"/>
          <w:highlight w:val="none"/>
          <w:lang w:eastAsia="zh-CN"/>
        </w:rPr>
        <w:t xml:space="preserve">1.响应报价低于全部通过符合性审查供应商响应报价平均值50%的，即响应报价&lt;全部通过符合性审查供应商响应报价平均值×50%；</w:t>
      </w:r>
      <w:r/>
    </w:p>
    <w:p>
      <w:pPr>
        <w:ind w:firstLine="482"/>
        <w:jc w:val="left"/>
        <w:spacing w:line="360" w:lineRule="auto"/>
        <w:widowControl/>
        <w:rPr>
          <w:rFonts w:hint="eastAsia" w:ascii="黑体" w:hAnsi="黑体" w:eastAsia="黑体" w:cs="黑体"/>
          <w:color w:val="auto"/>
          <w:sz w:val="24"/>
          <w:szCs w:val="24"/>
          <w:highlight w:val="none"/>
          <w:lang w:eastAsia="zh-CN"/>
        </w:rPr>
      </w:pPr>
      <w:r>
        <w:rPr>
          <w:rFonts w:hint="eastAsia" w:ascii="黑体" w:hAnsi="黑体" w:eastAsia="黑体" w:cs="黑体"/>
          <w:color w:val="auto"/>
          <w:sz w:val="24"/>
          <w:szCs w:val="24"/>
          <w:highlight w:val="none"/>
          <w:lang w:eastAsia="zh-CN"/>
        </w:rPr>
        <w:t xml:space="preserve">2.响应报价低于通过符合性审查的次低报价供应商响应报价50%的，即响应报价&lt;通过符合性审查的次低报价供应商响应报价×50%；</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3.响应报价低于采购项目最高限价（未设定最高限价的采购项目，以采购项目预算金额作为最高限价）45%的，即响应报价&lt;采购项目最高限价×45%；</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4.</w:t>
      </w:r>
      <w:r>
        <w:rPr>
          <w:rFonts w:hint="eastAsia" w:ascii="黑体" w:hAnsi="黑体" w:eastAsia="黑体" w:cs="黑体"/>
          <w:color w:val="auto"/>
          <w:sz w:val="24"/>
          <w:szCs w:val="24"/>
          <w:highlight w:val="none"/>
          <w:lang w:eastAsia="zh-CN"/>
        </w:rPr>
        <w:t xml:space="preserve">磋商小组基于专业判断，认</w:t>
      </w:r>
      <w:r>
        <w:rPr>
          <w:rFonts w:hint="eastAsia" w:ascii="黑体" w:hAnsi="黑体" w:eastAsia="黑体" w:cs="黑体"/>
          <w:color w:val="auto"/>
          <w:sz w:val="24"/>
          <w:szCs w:val="24"/>
          <w:highlight w:val="none"/>
        </w:rPr>
        <w:t xml:space="preserve">为供应商报价过低，有可能影响产品质量或者不能诚信履约的其他情形。</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相关法律法规对供应商报价有规定的，从其规定。</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w:t>
      </w:r>
      <w:r>
        <w:rPr>
          <w:rFonts w:hint="eastAsia" w:ascii="黑体" w:hAnsi="黑体" w:eastAsia="黑体" w:cs="黑体"/>
          <w:color w:val="auto"/>
          <w:sz w:val="24"/>
          <w:szCs w:val="24"/>
          <w:highlight w:val="none"/>
          <w:lang w:eastAsia="zh-CN"/>
        </w:rPr>
        <w:t xml:space="preserve">磋商小组</w:t>
      </w:r>
      <w:r>
        <w:rPr>
          <w:rFonts w:hint="eastAsia" w:ascii="黑体" w:hAnsi="黑体" w:eastAsia="黑体" w:cs="黑体"/>
          <w:color w:val="auto"/>
          <w:sz w:val="24"/>
          <w:szCs w:val="24"/>
          <w:highlight w:val="none"/>
        </w:rPr>
        <w:t xml:space="preserve">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黑体" w:hAnsi="黑体" w:eastAsia="黑体" w:cs="黑体"/>
          <w:color w:val="auto"/>
          <w:sz w:val="24"/>
          <w:szCs w:val="24"/>
          <w:highlight w:val="none"/>
          <w:lang w:eastAsia="zh-CN"/>
        </w:rPr>
        <w:t xml:space="preserve">磋商小组</w:t>
      </w:r>
      <w:r>
        <w:rPr>
          <w:rFonts w:hint="eastAsia" w:ascii="黑体" w:hAnsi="黑体" w:eastAsia="黑体" w:cs="黑体"/>
          <w:color w:val="auto"/>
          <w:sz w:val="24"/>
          <w:szCs w:val="24"/>
          <w:highlight w:val="none"/>
        </w:rPr>
        <w:t xml:space="preserve">应当将其作为无效响应处理。</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异常低价响应审查的启动原因、审查意见和审查结果应当在评审报告中记录，并随供应商提供的相关书面说明及证明材料，以及评审委员会有关互联网浏览、查询历史一并归档。</w:t>
      </w:r>
      <w:bookmarkEnd w:id="14"/>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磋商小组成员对需要共同认定的事项存在争议的，应当按照少数服从多数的原则作出结论。持不同意见的磋商小组应当在</w:t>
      </w:r>
      <w:r>
        <w:rPr>
          <w:rFonts w:hint="eastAsia" w:ascii="黑体" w:hAnsi="黑体" w:eastAsia="黑体" w:cs="黑体"/>
          <w:color w:val="auto"/>
          <w:sz w:val="24"/>
          <w:szCs w:val="24"/>
          <w:highlight w:val="none"/>
          <w:lang w:val="en-US" w:eastAsia="zh-CN"/>
        </w:rPr>
        <w:t xml:space="preserve">评审</w:t>
      </w:r>
      <w:r>
        <w:rPr>
          <w:rFonts w:hint="eastAsia" w:ascii="黑体" w:hAnsi="黑体" w:eastAsia="黑体" w:cs="黑体"/>
          <w:color w:val="auto"/>
          <w:sz w:val="24"/>
          <w:szCs w:val="24"/>
          <w:highlight w:val="none"/>
        </w:rPr>
        <w:t xml:space="preserve">报告上签署不同意见及理由，否则视为同意评</w:t>
      </w:r>
      <w:r>
        <w:rPr>
          <w:rFonts w:hint="eastAsia" w:ascii="黑体" w:hAnsi="黑体" w:eastAsia="黑体" w:cs="黑体"/>
          <w:color w:val="auto"/>
          <w:sz w:val="24"/>
          <w:szCs w:val="24"/>
          <w:highlight w:val="none"/>
          <w:lang w:eastAsia="zh-CN"/>
        </w:rPr>
        <w:t xml:space="preserve">审</w:t>
      </w:r>
      <w:r>
        <w:rPr>
          <w:rFonts w:hint="eastAsia" w:ascii="黑体" w:hAnsi="黑体" w:eastAsia="黑体" w:cs="黑体"/>
          <w:color w:val="auto"/>
          <w:sz w:val="24"/>
          <w:szCs w:val="24"/>
          <w:highlight w:val="none"/>
        </w:rPr>
        <w:t xml:space="preserve">报告。</w:t>
      </w:r>
      <w:r/>
    </w:p>
    <w:p>
      <w:pPr>
        <w:ind w:firstLine="482"/>
        <w:jc w:val="left"/>
        <w:spacing w:line="360" w:lineRule="auto"/>
        <w:widowControl/>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4"/>
          <w:szCs w:val="24"/>
          <w:highlight w:val="none"/>
        </w:rPr>
        <w:t xml:space="preserve">证明材料；供应商不能证明其报价合理性的，磋商小组应当将其按响应无效处理。</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b/>
          <w:bCs/>
          <w:color w:val="auto"/>
          <w:sz w:val="24"/>
          <w:szCs w:val="24"/>
          <w:highlight w:val="none"/>
        </w:rPr>
        <w:t xml:space="preserve">十七、有下列情形之一的，其响应无效：</w:t>
      </w:r>
      <w:r/>
    </w:p>
    <w:p>
      <w:pPr>
        <w:ind w:firstLine="480"/>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1、电子响应文件未按规定期限提交的； </w:t>
      </w:r>
      <w:r/>
    </w:p>
    <w:p>
      <w:pPr>
        <w:ind w:firstLine="480"/>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2、电子响应文件未按磋商文件要求签章的；</w:t>
      </w:r>
      <w:r/>
    </w:p>
    <w:p>
      <w:pPr>
        <w:ind w:firstLine="480"/>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3、</w:t>
      </w:r>
      <w:r>
        <w:rPr>
          <w:rFonts w:hint="eastAsia" w:ascii="黑体" w:hAnsi="黑体" w:eastAsia="黑体" w:cs="黑体"/>
          <w:color w:val="auto"/>
          <w:sz w:val="24"/>
          <w:szCs w:val="24"/>
          <w:highlight w:val="none"/>
          <w:lang w:eastAsia="zh-CN"/>
        </w:rPr>
        <w:t xml:space="preserve">供应商</w:t>
      </w:r>
      <w:r>
        <w:rPr>
          <w:rFonts w:hint="eastAsia" w:ascii="黑体" w:hAnsi="黑体" w:eastAsia="黑体" w:cs="黑体"/>
          <w:color w:val="auto"/>
          <w:sz w:val="24"/>
          <w:szCs w:val="24"/>
          <w:highlight w:val="none"/>
        </w:rPr>
        <w:t xml:space="preserve">未在规定时间内解密电子响应文件的；</w:t>
      </w:r>
      <w:r/>
    </w:p>
    <w:p>
      <w:pPr>
        <w:ind w:firstLine="480"/>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4、供应商的法定代表人授权代表，无法定代表人授权委托书的；</w:t>
      </w:r>
      <w:r/>
    </w:p>
    <w:p>
      <w:pPr>
        <w:ind w:firstLine="480"/>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5、不具备磋商文件中规定的资格要求或未按磋商文件规定的要求提供资格、资信证明文件的；</w:t>
      </w:r>
      <w:r/>
    </w:p>
    <w:p>
      <w:pPr>
        <w:ind w:firstLine="480"/>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6、被列入“信用中国”网站（www.creditchina.gov.cn）失信被执行人、重大税收违法案件当事人名单、政府采购严重违法失信行为记录名单的；</w:t>
      </w:r>
      <w:r/>
    </w:p>
    <w:p>
      <w:pPr>
        <w:ind w:firstLine="480"/>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7、响应文件未按磋商文件规定的内容和要求填写的；没有在投标系统指定位置上传对应文件、材料的；</w:t>
      </w:r>
      <w:r/>
    </w:p>
    <w:p>
      <w:pPr>
        <w:ind w:firstLine="480"/>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8、响应文件中有磋商文件未允许提供的选择性内容；</w:t>
      </w:r>
      <w:r/>
    </w:p>
    <w:p>
      <w:pPr>
        <w:ind w:firstLine="480"/>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9、不同供应商委托同一单位或者个人办理投标事宜的；</w:t>
      </w:r>
      <w:r/>
    </w:p>
    <w:p>
      <w:pPr>
        <w:ind w:firstLine="480"/>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10、不同供应商的单位负责人为同一人或者存在直接控股、管理关系的；</w:t>
      </w:r>
      <w:r/>
    </w:p>
    <w:p>
      <w:pPr>
        <w:ind w:firstLine="480"/>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11、不同供应商的响应文件的装订形式、纸张情况、目录序号、排版格式、文字风格等存在明显的相似性或一致性，特征显示由同一单位或者同一个人编制的；</w:t>
      </w:r>
      <w:r/>
    </w:p>
    <w:p>
      <w:pPr>
        <w:ind w:firstLine="480"/>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12、不同供应商响应文件内容存在非正常一致、项目组成员出现同一人、响应文件中错误（ 或异常）一致或雷同、电子文档信息一致或雷同的、投标报价呈规律性差异的；</w:t>
      </w:r>
      <w:r/>
    </w:p>
    <w:p>
      <w:pPr>
        <w:ind w:firstLine="480"/>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13、不同供应商的委托代理人、项目负责人以及其他相关人员有在同一个单位缴纳社会保险 、同一响应文件中单位名称落款与公章不是同一单位的；</w:t>
      </w:r>
      <w:r/>
    </w:p>
    <w:p>
      <w:pPr>
        <w:ind w:firstLine="480"/>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14、项目（标段）投标总价超过本项目（标段）预算或最高限价的；</w:t>
      </w:r>
      <w:r/>
    </w:p>
    <w:p>
      <w:pPr>
        <w:ind w:firstLine="480"/>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15、提供虚假材料的（包括工商营业执照、财务报表、资格证明文件等）；</w:t>
      </w:r>
      <w:r/>
    </w:p>
    <w:p>
      <w:pPr>
        <w:ind w:firstLine="480"/>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16、响应文件含有采购人不能接受的附加条件的；</w:t>
      </w:r>
      <w:r/>
    </w:p>
    <w:p>
      <w:pPr>
        <w:ind w:firstLine="480"/>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18、除单一来源采购项目外，为采购项目提供整体设计、规范编制或者项目管理、监理、检测等服务的；</w:t>
      </w:r>
      <w:r/>
    </w:p>
    <w:p>
      <w:pPr>
        <w:ind w:firstLine="480"/>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19、响应文件内容不全或不符合磋商文件中规定的其它实质性要求的；</w:t>
      </w:r>
      <w:r/>
    </w:p>
    <w:p>
      <w:pPr>
        <w:ind w:firstLine="480"/>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20、法律法规和磋商文件规定的其它无效情形。</w:t>
      </w:r>
      <w:r/>
    </w:p>
    <w:p>
      <w:pPr>
        <w:jc w:val="center"/>
        <w:spacing w:line="360" w:lineRule="auto"/>
        <w:widowControl w:val="off"/>
        <w:rPr>
          <w:rFonts w:hint="eastAsia" w:ascii="黑体" w:hAnsi="黑体" w:eastAsia="黑体" w:cs="黑体"/>
          <w:b/>
          <w:bCs/>
          <w:color w:val="auto"/>
          <w:sz w:val="24"/>
          <w:szCs w:val="24"/>
          <w:highlight w:val="none"/>
        </w:rPr>
        <w:outlineLvl w:val="0"/>
      </w:pPr>
      <w:r/>
      <w:bookmarkStart w:id="15" w:name="_Toc31496"/>
      <w:r/>
      <w:bookmarkStart w:id="16" w:name="_Toc13546"/>
      <w:r/>
      <w:bookmarkStart w:id="17" w:name="_Toc80122286"/>
      <w:r>
        <w:rPr>
          <w:rFonts w:hint="eastAsia" w:ascii="黑体" w:hAnsi="黑体" w:eastAsia="黑体" w:cs="黑体"/>
          <w:b/>
          <w:bCs/>
          <w:color w:val="auto"/>
          <w:sz w:val="24"/>
          <w:szCs w:val="24"/>
          <w:highlight w:val="none"/>
        </w:rPr>
        <w:t xml:space="preserve">第四章 确定成交供应商及合同签订等</w:t>
      </w:r>
      <w:bookmarkEnd w:id="15"/>
      <w:r/>
      <w:bookmarkEnd w:id="16"/>
      <w:r/>
      <w:bookmarkEnd w:id="17"/>
      <w:r/>
      <w:r/>
    </w:p>
    <w:p>
      <w:pPr>
        <w:ind w:firstLine="480"/>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十八、采购人应当在收到评审报告后5个工作日内，从评审报告提出的成交候选供应商中，按照排序由高到低的原则确定成交供应商。在招标公告同一发布媒体上公告成交结果，公告标的的基本概况为成交供应商的《磋商报价表》（最后报价）。</w:t>
      </w:r>
      <w:r/>
    </w:p>
    <w:p>
      <w:pPr>
        <w:ind w:firstLine="480"/>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排名第一的成交候选供应商放弃成交或因不可抗力提出不能履行合同，或者被查实存在影响成交结果的违法行为等情形不符合成交条件的，采购人可以按照评审委员会提出的成交候选供应商名单排序依此确定其他候选供应商为成交供应商并签订政府采购合同，采购人也可以重新开展采购活动。</w:t>
      </w:r>
      <w:r/>
    </w:p>
    <w:p>
      <w:pPr>
        <w:ind w:firstLine="480"/>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放弃成交的供应商不得参加对该项目重新开展的采购活动。</w:t>
      </w:r>
      <w:r/>
    </w:p>
    <w:p>
      <w:pPr>
        <w:ind w:firstLine="480"/>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采购人对未成交的供应商不做未成交原因的解释。</w:t>
      </w:r>
      <w:r/>
    </w:p>
    <w:p>
      <w:pPr>
        <w:ind w:firstLine="480"/>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十九、采购人有权对供应商的响应文件的真实性进行核实。如供应商不能提供有效文件，采购人将根据客观事实，有权取消成交供应商，同时供应商承担相应的法律责任。</w:t>
      </w:r>
      <w:r/>
    </w:p>
    <w:p>
      <w:pPr>
        <w:ind w:firstLine="480"/>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二十、采购人与成交供应商应当在成交通知书发出之日起</w:t>
      </w:r>
      <w:r>
        <w:rPr>
          <w:rFonts w:hint="eastAsia" w:ascii="黑体" w:hAnsi="黑体" w:eastAsia="黑体" w:cs="黑体"/>
          <w:color w:val="auto"/>
          <w:sz w:val="24"/>
          <w:szCs w:val="24"/>
          <w:highlight w:val="none"/>
          <w:u w:val="single"/>
        </w:rPr>
        <w:t xml:space="preserve">30</w:t>
      </w:r>
      <w:r>
        <w:rPr>
          <w:rFonts w:hint="eastAsia" w:ascii="黑体" w:hAnsi="黑体" w:eastAsia="黑体" w:cs="黑体"/>
          <w:color w:val="auto"/>
          <w:sz w:val="24"/>
          <w:szCs w:val="24"/>
          <w:highlight w:val="none"/>
        </w:rPr>
        <w:t xml:space="preserve">日内，按照磋商文件确定的合同文本以及采购标的、规格型号、采购金额、采购数量、技术和服务要求等事项签订政府采购合同。</w:t>
      </w:r>
      <w:r/>
    </w:p>
    <w:p>
      <w:pPr>
        <w:ind w:firstLine="480"/>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p>
    <w:p>
      <w:pPr>
        <w:ind w:firstLine="480"/>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二十一、</w:t>
      </w:r>
      <w:r>
        <w:rPr>
          <w:rFonts w:hint="eastAsia" w:ascii="黑体" w:hAnsi="黑体" w:eastAsia="黑体" w:cs="黑体"/>
          <w:color w:val="auto"/>
          <w:sz w:val="24"/>
          <w:szCs w:val="21"/>
          <w:highlight w:val="none"/>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rPr>
          <w:rFonts w:hint="eastAsia" w:ascii="黑体" w:hAnsi="黑体" w:eastAsia="黑体" w:cs="黑体"/>
          <w:color w:val="auto"/>
          <w:sz w:val="24"/>
          <w:szCs w:val="24"/>
          <w:highlight w:val="none"/>
        </w:rPr>
        <w:t xml:space="preserve">。</w:t>
      </w:r>
      <w:r/>
    </w:p>
    <w:p>
      <w:pPr>
        <w:jc w:val="center"/>
        <w:spacing w:line="360" w:lineRule="auto"/>
        <w:widowControl w:val="off"/>
        <w:rPr>
          <w:rFonts w:hint="eastAsia" w:ascii="黑体" w:hAnsi="黑体" w:eastAsia="黑体" w:cs="黑体"/>
          <w:b/>
          <w:bCs/>
          <w:color w:val="auto"/>
          <w:sz w:val="24"/>
          <w:szCs w:val="24"/>
          <w:highlight w:val="none"/>
        </w:rPr>
        <w:outlineLvl w:val="0"/>
      </w:pPr>
      <w:r/>
      <w:bookmarkStart w:id="18" w:name="_Toc24666"/>
      <w:r/>
      <w:bookmarkStart w:id="19" w:name="_Toc80122287"/>
      <w:r/>
      <w:bookmarkStart w:id="20" w:name="_Toc15896"/>
      <w:r>
        <w:rPr>
          <w:rFonts w:hint="eastAsia" w:ascii="黑体" w:hAnsi="黑体" w:eastAsia="黑体" w:cs="黑体"/>
          <w:b/>
          <w:bCs/>
          <w:color w:val="auto"/>
          <w:sz w:val="24"/>
          <w:szCs w:val="24"/>
          <w:highlight w:val="none"/>
        </w:rPr>
        <w:t xml:space="preserve">第五章 磋商文件的澄清或者修改</w:t>
      </w:r>
      <w:bookmarkEnd w:id="18"/>
      <w:r/>
      <w:bookmarkEnd w:id="19"/>
      <w:r/>
      <w:bookmarkEnd w:id="20"/>
      <w:r/>
      <w:r/>
    </w:p>
    <w:p>
      <w:pPr>
        <w:ind w:firstLine="480"/>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二十二、竞争性磋商文件的澄清或者修改</w:t>
      </w:r>
      <w:r/>
    </w:p>
    <w:p>
      <w:pPr>
        <w:ind w:firstLine="480"/>
        <w:jc w:val="left"/>
        <w:spacing w:line="360" w:lineRule="auto"/>
        <w:widowControl w:val="off"/>
        <w:rPr>
          <w:rFonts w:hint="eastAsia" w:ascii="黑体" w:hAnsi="黑体" w:eastAsia="黑体" w:cs="黑体"/>
          <w:b/>
          <w:bCs/>
          <w:color w:val="auto"/>
          <w:sz w:val="24"/>
          <w:szCs w:val="24"/>
          <w:highlight w:val="none"/>
        </w:rPr>
      </w:pPr>
      <w:r>
        <w:rPr>
          <w:rFonts w:hint="eastAsia" w:ascii="黑体" w:hAnsi="黑体" w:eastAsia="黑体" w:cs="黑体"/>
          <w:color w:val="auto"/>
          <w:sz w:val="24"/>
          <w:szCs w:val="24"/>
          <w:highlight w:val="none"/>
        </w:rPr>
        <w:t xml:space="preserve">提交首次响应文件截止之日（即“首次响应文件提交的截止时间”）前，采购代理机构可以对已发出的竞争性磋商文件进行必要的澄清或者修改，澄清或者修改的内容作为竞争性磋商文件的组成部分。澄清或者修改的内容以所发布的本项目的“更正公告”的附件的形式通知所有获取竞争性磋商文件的供应商。发布本项目的“更正公告”后采购代理机构已尽通知义务。敬请各所有获取竞争性磋商文件的供应商关注本项目的“更正公告”及附件，否则，将自行承担相应的风险。</w:t>
      </w:r>
      <w:r/>
    </w:p>
    <w:p>
      <w:pPr>
        <w:jc w:val="center"/>
        <w:spacing w:line="360" w:lineRule="auto"/>
        <w:widowControl w:val="off"/>
        <w:rPr>
          <w:rFonts w:hint="eastAsia" w:ascii="黑体" w:hAnsi="黑体" w:eastAsia="黑体" w:cs="黑体"/>
          <w:b/>
          <w:bCs/>
          <w:color w:val="auto"/>
          <w:sz w:val="24"/>
          <w:szCs w:val="24"/>
          <w:highlight w:val="none"/>
        </w:rPr>
        <w:outlineLvl w:val="0"/>
      </w:pPr>
      <w:r/>
      <w:bookmarkStart w:id="21" w:name="_Toc2592"/>
      <w:r/>
      <w:bookmarkStart w:id="22" w:name="_Toc80122288"/>
      <w:r/>
      <w:bookmarkStart w:id="23" w:name="_Toc11856"/>
      <w:r>
        <w:rPr>
          <w:rFonts w:hint="eastAsia" w:ascii="黑体" w:hAnsi="黑体" w:eastAsia="黑体" w:cs="黑体"/>
          <w:b/>
          <w:bCs/>
          <w:color w:val="auto"/>
          <w:sz w:val="24"/>
          <w:szCs w:val="24"/>
          <w:highlight w:val="none"/>
        </w:rPr>
        <w:t xml:space="preserve">第六章 询问和质疑</w:t>
      </w:r>
      <w:bookmarkEnd w:id="21"/>
      <w:r/>
      <w:bookmarkEnd w:id="22"/>
      <w:r/>
      <w:bookmarkEnd w:id="23"/>
      <w:r/>
      <w:r/>
    </w:p>
    <w:p>
      <w:pPr>
        <w:ind w:firstLine="480"/>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二十三、询问和质疑</w:t>
      </w:r>
      <w:r/>
    </w:p>
    <w:p>
      <w:pPr>
        <w:ind w:firstLine="492"/>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p>
    <w:p>
      <w:pPr>
        <w:ind w:firstLine="492"/>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2、质疑和投诉按《政府采购质疑和投诉办法》执行。 供应商对同一采购程序环节的质疑应在质疑期内一次性提出。</w:t>
      </w:r>
      <w:r/>
    </w:p>
    <w:p>
      <w:pPr>
        <w:ind w:firstLine="492"/>
        <w:jc w:val="left"/>
        <w:spacing w:line="36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rPr>
        <w:t xml:space="preserve">质疑接收人：</w:t>
      </w:r>
      <w:r>
        <w:rPr>
          <w:rFonts w:hint="eastAsia" w:ascii="黑体" w:hAnsi="黑体" w:eastAsia="黑体" w:cs="黑体"/>
          <w:color w:val="auto"/>
          <w:sz w:val="24"/>
          <w:szCs w:val="24"/>
          <w:highlight w:val="none"/>
          <w:lang w:val="en-US" w:eastAsia="zh-CN"/>
        </w:rPr>
        <w:t xml:space="preserve">王静</w:t>
      </w:r>
      <w:r>
        <w:rPr>
          <w:rFonts w:hint="eastAsia" w:ascii="黑体" w:hAnsi="黑体" w:eastAsia="黑体" w:cs="黑体"/>
          <w:color w:val="auto"/>
          <w:sz w:val="24"/>
          <w:szCs w:val="24"/>
          <w:highlight w:val="none"/>
        </w:rPr>
        <w:t xml:space="preserve">     联系电话：</w:t>
      </w:r>
      <w:r>
        <w:rPr>
          <w:rFonts w:hint="eastAsia" w:ascii="黑体" w:hAnsi="黑体" w:eastAsia="黑体" w:cs="黑体"/>
          <w:color w:val="auto"/>
          <w:sz w:val="24"/>
          <w:szCs w:val="24"/>
          <w:highlight w:val="none"/>
          <w:lang w:val="en-US" w:eastAsia="zh-CN"/>
        </w:rPr>
        <w:t xml:space="preserve">13685112186</w:t>
      </w:r>
      <w:r/>
    </w:p>
    <w:p>
      <w:pPr>
        <w:ind w:firstLine="492"/>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接收地址：中经国际招标集团有限公司徐州分公司</w:t>
      </w:r>
      <w:r/>
    </w:p>
    <w:p>
      <w:pPr>
        <w:ind w:firstLine="492"/>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3、供应商对评审过程、成交结果提出质疑的，采购人、采购代理机构可以组织原评审委员会协助答复质疑。</w:t>
      </w:r>
      <w:r/>
    </w:p>
    <w:p>
      <w:pPr>
        <w:ind w:firstLine="492"/>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4、采购人或采购代理机构在收到供应商的书面质疑后7个工作日内予以答复，并告知本项目的有关供应商。</w:t>
      </w:r>
      <w:r/>
    </w:p>
    <w:p>
      <w:pPr>
        <w:ind w:firstLine="492"/>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十四、质疑时效期间的计算：（1）对磋商文件提出质疑的，为收到磋商文件之日或磋商文件公告期限届满之日；（2）对磋商过程提出质疑的，为磋商程序各环节结束之日；（3）对成交结果提出质疑的，为成交公告期限届满之日。</w:t>
      </w:r>
      <w:r/>
    </w:p>
    <w:p>
      <w:pPr>
        <w:ind w:firstLine="480"/>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二十五、成交供应商领取成交通知书时，向</w:t>
      </w:r>
      <w:r>
        <w:rPr>
          <w:rFonts w:hint="eastAsia" w:ascii="黑体" w:hAnsi="黑体" w:eastAsia="黑体" w:cs="黑体"/>
          <w:color w:val="auto"/>
          <w:sz w:val="24"/>
          <w:szCs w:val="24"/>
          <w:highlight w:val="none"/>
          <w:lang w:eastAsia="zh-CN"/>
        </w:rPr>
        <w:t xml:space="preserve">中经国际招标集团有限公司</w:t>
      </w:r>
      <w:r>
        <w:rPr>
          <w:rFonts w:hint="eastAsia" w:ascii="黑体" w:hAnsi="黑体" w:eastAsia="黑体" w:cs="黑体"/>
          <w:color w:val="auto"/>
          <w:sz w:val="24"/>
          <w:szCs w:val="24"/>
          <w:highlight w:val="none"/>
        </w:rPr>
        <w:t xml:space="preserve">一次性支付招标代理服务费，收费标准见附件。同时提供纸质版响应文件一正四副及电子响应文件（U盘）。</w:t>
      </w:r>
      <w:r/>
    </w:p>
    <w:p>
      <w:pPr>
        <w:ind w:firstLine="480"/>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二十六、成交结果在徐州政府采购网https://czj.xz.gov.cn/zfcg/index.html/上公布。</w:t>
      </w:r>
      <w:r/>
    </w:p>
    <w:p>
      <w:pPr>
        <w:ind w:firstLine="480"/>
        <w:jc w:val="left"/>
        <w:spacing w:line="360" w:lineRule="auto"/>
        <w:widowControl w:val="off"/>
        <w:rPr>
          <w:rFonts w:hint="eastAsia" w:ascii="黑体" w:hAnsi="黑体" w:eastAsia="黑体" w:cs="黑体"/>
          <w:color w:val="auto"/>
          <w:sz w:val="24"/>
          <w:highlight w:val="none"/>
          <w:lang w:val="en-US" w:eastAsia="zh-CN" w:bidi="ar-SA"/>
        </w:rPr>
      </w:pPr>
      <w:r>
        <w:rPr>
          <w:rFonts w:hint="eastAsia" w:ascii="黑体" w:hAnsi="黑体" w:eastAsia="黑体" w:cs="黑体"/>
          <w:color w:val="auto"/>
          <w:sz w:val="24"/>
          <w:highlight w:val="none"/>
          <w:lang w:val="en-US" w:eastAsia="zh-CN" w:bidi="ar-SA"/>
        </w:rPr>
        <w:t xml:space="preserve">二十七、联系方式</w:t>
      </w:r>
      <w:r/>
    </w:p>
    <w:p>
      <w:pPr>
        <w:ind w:firstLine="480"/>
        <w:jc w:val="left"/>
        <w:spacing w:line="360" w:lineRule="auto"/>
        <w:widowControl w:val="off"/>
        <w:rPr>
          <w:rFonts w:hint="eastAsia" w:ascii="黑体" w:hAnsi="黑体" w:eastAsia="黑体" w:cs="黑体"/>
          <w:color w:val="auto"/>
          <w:sz w:val="24"/>
          <w:highlight w:val="none"/>
          <w:lang w:val="en-US" w:eastAsia="zh-CN" w:bidi="ar-SA"/>
        </w:rPr>
      </w:pPr>
      <w:r>
        <w:rPr>
          <w:rFonts w:hint="eastAsia" w:ascii="黑体" w:hAnsi="黑体" w:eastAsia="黑体" w:cs="黑体"/>
          <w:color w:val="auto"/>
          <w:sz w:val="24"/>
          <w:highlight w:val="none"/>
          <w:lang w:val="en-US" w:eastAsia="zh-CN" w:bidi="ar-SA"/>
        </w:rPr>
        <w:t xml:space="preserve">1</w:t>
      </w:r>
      <w:r>
        <w:rPr>
          <w:rFonts w:hint="eastAsia" w:ascii="黑体" w:hAnsi="黑体" w:eastAsia="黑体" w:cs="黑体"/>
          <w:bCs/>
          <w:color w:val="auto"/>
          <w:sz w:val="24"/>
          <w:highlight w:val="none"/>
          <w:lang w:val="en-US" w:eastAsia="zh-CN" w:bidi="ar-SA"/>
        </w:rPr>
        <w:t xml:space="preserve">、采购人</w:t>
      </w:r>
      <w:r/>
    </w:p>
    <w:p>
      <w:pPr>
        <w:ind w:firstLine="960"/>
        <w:jc w:val="left"/>
        <w:spacing w:line="360" w:lineRule="auto"/>
        <w:widowControl w:val="off"/>
        <w:rPr>
          <w:rFonts w:hint="eastAsia" w:ascii="黑体" w:hAnsi="黑体" w:eastAsia="黑体" w:cs="黑体"/>
          <w:color w:val="auto"/>
          <w:sz w:val="24"/>
          <w:highlight w:val="none"/>
          <w:lang w:val="en-US" w:eastAsia="zh-CN" w:bidi="ar-SA"/>
        </w:rPr>
      </w:pPr>
      <w:r>
        <w:rPr>
          <w:rFonts w:hint="eastAsia" w:ascii="黑体" w:hAnsi="黑体" w:eastAsia="黑体" w:cs="黑体"/>
          <w:color w:val="auto"/>
          <w:sz w:val="24"/>
          <w:highlight w:val="none"/>
          <w:lang w:val="en-US" w:eastAsia="zh-CN" w:bidi="ar-SA"/>
        </w:rPr>
        <w:t xml:space="preserve">名称：徐州市市政管理中心</w:t>
      </w:r>
      <w:r/>
    </w:p>
    <w:p>
      <w:pPr>
        <w:ind w:firstLine="960"/>
        <w:jc w:val="left"/>
        <w:spacing w:line="360" w:lineRule="auto"/>
        <w:widowControl w:val="off"/>
        <w:rPr>
          <w:rFonts w:hint="eastAsia" w:ascii="黑体" w:hAnsi="黑体" w:eastAsia="黑体" w:cs="黑体"/>
          <w:color w:val="auto"/>
          <w:sz w:val="24"/>
          <w:highlight w:val="none"/>
          <w:lang w:val="en-US" w:eastAsia="zh-CN" w:bidi="ar-SA"/>
        </w:rPr>
      </w:pPr>
      <w:r>
        <w:rPr>
          <w:rFonts w:hint="eastAsia" w:ascii="黑体" w:hAnsi="黑体" w:eastAsia="黑体" w:cs="黑体"/>
          <w:color w:val="auto"/>
          <w:sz w:val="24"/>
          <w:highlight w:val="none"/>
          <w:lang w:val="en-US" w:eastAsia="zh-CN" w:bidi="ar-SA"/>
        </w:rPr>
        <w:t xml:space="preserve">地址：徐州市黄河东路43号</w:t>
      </w:r>
      <w:r/>
    </w:p>
    <w:p>
      <w:pPr>
        <w:ind w:firstLine="960"/>
        <w:jc w:val="left"/>
        <w:spacing w:line="360" w:lineRule="auto"/>
        <w:widowControl w:val="off"/>
        <w:rPr>
          <w:rFonts w:hint="eastAsia" w:ascii="黑体" w:hAnsi="黑体" w:eastAsia="黑体" w:cs="黑体"/>
          <w:color w:val="auto"/>
          <w:sz w:val="24"/>
          <w:highlight w:val="none"/>
          <w:lang w:val="en-US" w:eastAsia="zh-CN" w:bidi="ar-SA"/>
        </w:rPr>
      </w:pPr>
      <w:r>
        <w:rPr>
          <w:rFonts w:hint="eastAsia" w:ascii="黑体" w:hAnsi="黑体" w:eastAsia="黑体" w:cs="黑体"/>
          <w:color w:val="auto"/>
          <w:sz w:val="24"/>
          <w:highlight w:val="none"/>
          <w:lang w:val="en-US" w:eastAsia="zh-CN" w:bidi="ar-SA"/>
        </w:rPr>
        <w:t xml:space="preserve">采购项目联系人：阮玉良</w:t>
      </w:r>
      <w:r/>
    </w:p>
    <w:p>
      <w:pPr>
        <w:numPr>
          <w:ilvl w:val="0"/>
          <w:numId w:val="1"/>
        </w:numPr>
        <w:ind w:firstLine="480"/>
        <w:jc w:val="left"/>
        <w:spacing w:line="360" w:lineRule="auto"/>
        <w:widowControl w:val="off"/>
        <w:rPr>
          <w:rFonts w:hint="eastAsia" w:ascii="黑体" w:hAnsi="黑体" w:eastAsia="黑体" w:cs="黑体"/>
          <w:color w:val="auto"/>
          <w:sz w:val="24"/>
          <w:highlight w:val="none"/>
          <w:lang w:val="en-US" w:eastAsia="zh-CN" w:bidi="ar-SA"/>
        </w:rPr>
      </w:pPr>
      <w:r>
        <w:rPr>
          <w:rFonts w:hint="eastAsia" w:ascii="黑体" w:hAnsi="黑体" w:eastAsia="黑体" w:cs="黑体"/>
          <w:color w:val="auto"/>
          <w:sz w:val="24"/>
          <w:highlight w:val="none"/>
          <w:lang w:val="en-US" w:eastAsia="zh-CN" w:bidi="ar-SA"/>
        </w:rPr>
        <w:t xml:space="preserve">电话：0516-83387776</w:t>
      </w:r>
      <w:r/>
    </w:p>
    <w:p>
      <w:pPr>
        <w:numPr>
          <w:ilvl w:val="0"/>
          <w:numId w:val="1"/>
        </w:numPr>
        <w:ind w:firstLine="480"/>
        <w:jc w:val="left"/>
        <w:spacing w:line="360" w:lineRule="auto"/>
        <w:widowControl w:val="off"/>
        <w:rPr>
          <w:rFonts w:hint="eastAsia" w:ascii="黑体" w:hAnsi="黑体" w:eastAsia="黑体" w:cs="黑体"/>
          <w:bCs/>
          <w:color w:val="auto"/>
          <w:sz w:val="24"/>
          <w:highlight w:val="none"/>
          <w:lang w:val="en-US" w:eastAsia="zh-CN" w:bidi="ar-SA"/>
        </w:rPr>
      </w:pPr>
      <w:r>
        <w:rPr>
          <w:rFonts w:hint="eastAsia" w:ascii="黑体" w:hAnsi="黑体" w:eastAsia="黑体" w:cs="黑体"/>
          <w:bCs/>
          <w:color w:val="auto"/>
          <w:sz w:val="24"/>
          <w:highlight w:val="none"/>
          <w:lang w:val="en-US" w:eastAsia="zh-CN" w:bidi="ar-SA"/>
        </w:rPr>
        <w:t xml:space="preserve">采购代理机构</w:t>
      </w:r>
      <w:r/>
    </w:p>
    <w:p>
      <w:pPr>
        <w:ind w:firstLine="960"/>
        <w:jc w:val="left"/>
        <w:spacing w:line="360" w:lineRule="auto"/>
        <w:widowControl w:val="off"/>
        <w:rPr>
          <w:rFonts w:hint="eastAsia" w:ascii="黑体" w:hAnsi="黑体" w:eastAsia="黑体" w:cs="黑体"/>
          <w:color w:val="auto"/>
          <w:sz w:val="24"/>
          <w:highlight w:val="none"/>
          <w:lang w:val="en-US" w:eastAsia="zh-CN" w:bidi="ar-SA"/>
        </w:rPr>
      </w:pPr>
      <w:r>
        <w:rPr>
          <w:rFonts w:hint="eastAsia" w:ascii="黑体" w:hAnsi="黑体" w:eastAsia="黑体" w:cs="黑体"/>
          <w:color w:val="auto"/>
          <w:sz w:val="24"/>
          <w:highlight w:val="none"/>
          <w:lang w:val="en-US" w:eastAsia="zh-CN" w:bidi="ar-SA"/>
        </w:rPr>
        <w:t xml:space="preserve">名称：中经国际招标集团有限公司</w:t>
      </w:r>
      <w:r/>
    </w:p>
    <w:p>
      <w:pPr>
        <w:ind w:firstLine="960"/>
        <w:jc w:val="left"/>
        <w:spacing w:line="360" w:lineRule="auto"/>
        <w:widowControl w:val="off"/>
        <w:rPr>
          <w:rFonts w:hint="eastAsia" w:ascii="黑体" w:hAnsi="黑体" w:eastAsia="黑体" w:cs="黑体"/>
          <w:color w:val="auto"/>
          <w:sz w:val="24"/>
          <w:highlight w:val="none"/>
          <w:lang w:val="en-US" w:eastAsia="zh-CN" w:bidi="ar-SA"/>
        </w:rPr>
      </w:pPr>
      <w:r>
        <w:rPr>
          <w:rFonts w:hint="eastAsia" w:ascii="黑体" w:hAnsi="黑体" w:eastAsia="黑体" w:cs="黑体"/>
          <w:color w:val="auto"/>
          <w:sz w:val="24"/>
          <w:highlight w:val="none"/>
          <w:lang w:val="en-US" w:eastAsia="zh-CN" w:bidi="ar-SA"/>
        </w:rPr>
        <w:t xml:space="preserve">地址：北京市东城区滨河路1号</w:t>
      </w:r>
      <w:r/>
    </w:p>
    <w:p>
      <w:pPr>
        <w:ind w:firstLine="960"/>
        <w:jc w:val="left"/>
        <w:spacing w:line="360" w:lineRule="auto"/>
        <w:widowControl w:val="off"/>
        <w:rPr>
          <w:rFonts w:hint="eastAsia" w:ascii="黑体" w:hAnsi="黑体" w:eastAsia="黑体" w:cs="黑体"/>
          <w:color w:val="auto"/>
          <w:sz w:val="24"/>
          <w:highlight w:val="none"/>
          <w:lang w:val="en-US" w:eastAsia="zh-CN" w:bidi="ar-SA"/>
        </w:rPr>
      </w:pPr>
      <w:r>
        <w:rPr>
          <w:rFonts w:hint="eastAsia" w:ascii="黑体" w:hAnsi="黑体" w:eastAsia="黑体" w:cs="黑体"/>
          <w:color w:val="auto"/>
          <w:sz w:val="24"/>
          <w:highlight w:val="none"/>
          <w:lang w:val="en-US" w:eastAsia="zh-CN" w:bidi="ar-SA"/>
        </w:rPr>
        <w:t xml:space="preserve">采购代理联系人：王静</w:t>
      </w:r>
      <w:r/>
    </w:p>
    <w:p>
      <w:pPr>
        <w:ind w:firstLine="960"/>
        <w:jc w:val="left"/>
        <w:spacing w:line="360" w:lineRule="auto"/>
        <w:widowControl w:val="off"/>
        <w:rPr>
          <w:rFonts w:hint="eastAsia" w:ascii="黑体" w:hAnsi="黑体" w:eastAsia="黑体" w:cs="黑体"/>
          <w:color w:val="auto"/>
          <w:sz w:val="24"/>
          <w:highlight w:val="none"/>
          <w:lang w:val="en-US" w:eastAsia="zh-CN" w:bidi="ar-SA"/>
        </w:rPr>
      </w:pPr>
      <w:r>
        <w:rPr>
          <w:rFonts w:hint="eastAsia" w:ascii="黑体" w:hAnsi="黑体" w:eastAsia="黑体" w:cs="黑体"/>
          <w:color w:val="auto"/>
          <w:sz w:val="24"/>
          <w:highlight w:val="none"/>
          <w:lang w:val="en-US" w:eastAsia="zh-CN" w:bidi="ar-SA"/>
        </w:rPr>
        <w:t xml:space="preserve">电话：13685112186</w:t>
      </w:r>
      <w:r/>
    </w:p>
    <w:p>
      <w:pPr>
        <w:ind w:left="0" w:firstLine="0"/>
        <w:jc w:val="center"/>
        <w:spacing w:after="0" w:line="360" w:lineRule="auto"/>
        <w:widowControl w:val="off"/>
        <w:rPr>
          <w:rFonts w:hint="eastAsia" w:ascii="黑体" w:hAnsi="黑体" w:eastAsia="黑体" w:cs="黑体"/>
          <w:color w:val="auto"/>
          <w:sz w:val="28"/>
          <w:szCs w:val="28"/>
          <w:highlight w:val="none"/>
          <w:lang w:val="en-US" w:eastAsia="zh-CN" w:bidi="ar-SA"/>
        </w:rPr>
        <w:outlineLvl w:val="9"/>
      </w:pPr>
      <w:r>
        <w:rPr>
          <w:rFonts w:hint="eastAsia" w:ascii="黑体" w:hAnsi="黑体" w:eastAsia="黑体" w:cs="黑体"/>
          <w:b/>
          <w:bCs/>
          <w:color w:val="auto"/>
          <w:sz w:val="28"/>
          <w:szCs w:val="21"/>
          <w:highlight w:val="none"/>
          <w:lang w:val="en-US" w:eastAsia="zh-CN" w:bidi="ar-SA"/>
        </w:rPr>
        <w:br w:type="page" w:clear="all"/>
      </w:r>
      <w:r>
        <w:rPr>
          <w:rFonts w:hint="eastAsia" w:ascii="黑体" w:hAnsi="黑体" w:eastAsia="黑体" w:cs="黑体"/>
          <w:color w:val="auto"/>
          <w:sz w:val="28"/>
          <w:szCs w:val="28"/>
          <w:highlight w:val="none"/>
          <w:lang w:val="en-US" w:eastAsia="zh-CN" w:bidi="ar-SA"/>
        </w:rPr>
        <w:t xml:space="preserve">本章附件：代理服务收费标准</w:t>
      </w:r>
      <w:r/>
    </w:p>
    <w:p>
      <w:pPr>
        <w:ind w:firstLine="472"/>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招标代理服务收费标准：</w:t>
      </w:r>
      <w:r/>
    </w:p>
    <w:p>
      <w:pPr>
        <w:ind w:firstLine="505"/>
        <w:jc w:val="left"/>
        <w:spacing w:line="360" w:lineRule="auto"/>
        <w:widowControl w:val="off"/>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本项目招标代理服务通过苏服采公开招标选取。招标代理费由招标人支付。招标代理机构完成招标代理任务并提交全部备案资料和正规发票后一次性申请支付。费用依据《徐州市市级政府投资项目其他费用预算指南》（徐财建〔2025〕240）号文规定计算的代理费×45%支付。</w:t>
      </w:r>
      <w:r/>
    </w:p>
    <w:p>
      <w:pPr>
        <w:ind w:firstLine="505"/>
        <w:jc w:val="left"/>
        <w:spacing w:line="360" w:lineRule="auto"/>
        <w:widowControl w:val="off"/>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收款单位：中经国际招标集团有限公司徐州分公司</w:t>
      </w:r>
      <w:r/>
    </w:p>
    <w:p>
      <w:pPr>
        <w:ind w:firstLine="505"/>
        <w:jc w:val="left"/>
        <w:spacing w:line="360" w:lineRule="auto"/>
        <w:widowControl w:val="off"/>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银行账号：60170188000239136</w:t>
      </w:r>
      <w:r/>
    </w:p>
    <w:p>
      <w:pPr>
        <w:ind w:firstLine="505"/>
        <w:jc w:val="left"/>
        <w:spacing w:line="360" w:lineRule="auto"/>
        <w:widowControl w:val="off"/>
        <w:rPr>
          <w:rFonts w:hint="eastAsia" w:ascii="黑体" w:hAnsi="黑体" w:eastAsia="黑体" w:cs="黑体"/>
          <w:color w:val="auto"/>
          <w:spacing w:val="6"/>
          <w:sz w:val="21"/>
          <w:szCs w:val="16"/>
          <w:highlight w:val="none"/>
          <w:lang w:val="en-US" w:eastAsia="zh-CN" w:bidi="ar-SA"/>
        </w:rPr>
      </w:pPr>
      <w:r>
        <w:rPr>
          <w:rFonts w:hint="eastAsia" w:ascii="黑体" w:hAnsi="黑体" w:eastAsia="黑体" w:cs="黑体"/>
          <w:color w:val="auto"/>
          <w:szCs w:val="21"/>
          <w:highlight w:val="none"/>
        </w:rPr>
        <w:t xml:space="preserve">开户银行：江苏银行股份有限公司徐州奎山支行</w:t>
      </w:r>
      <w:r/>
    </w:p>
    <w:p>
      <w:pPr>
        <w:jc w:val="both"/>
        <w:spacing w:after="120" w:line="360" w:lineRule="auto"/>
        <w:widowControl w:val="off"/>
        <w:rPr>
          <w:rFonts w:hint="eastAsia" w:ascii="黑体" w:hAnsi="黑体" w:eastAsia="黑体" w:cs="黑体"/>
          <w:b/>
          <w:bCs/>
          <w:color w:val="auto"/>
          <w:sz w:val="28"/>
          <w:szCs w:val="28"/>
          <w:highlight w:val="none"/>
          <w:lang w:val="en-US" w:eastAsia="zh-CN" w:bidi="ar-SA"/>
        </w:rPr>
      </w:pPr>
      <w:r>
        <w:rPr>
          <w:rFonts w:hint="eastAsia" w:ascii="黑体" w:hAnsi="黑体" w:eastAsia="黑体" w:cs="黑体"/>
          <w:b/>
          <w:bCs/>
          <w:color w:val="auto"/>
          <w:sz w:val="28"/>
          <w:szCs w:val="28"/>
          <w:highlight w:val="none"/>
          <w:lang w:val="en-US" w:eastAsia="zh-CN" w:bidi="ar-SA"/>
        </w:rPr>
      </w:r>
      <w:r/>
    </w:p>
    <w:p>
      <w:pPr>
        <w:jc w:val="center"/>
        <w:keepLines w:val="0"/>
        <w:keepNext w:val="0"/>
        <w:spacing w:before="0" w:after="0" w:line="360" w:lineRule="auto"/>
        <w:widowControl w:val="off"/>
        <w:rPr>
          <w:rFonts w:hint="eastAsia" w:ascii="黑体" w:hAnsi="黑体" w:eastAsia="黑体" w:cs="黑体"/>
          <w:b/>
          <w:bCs/>
          <w:color w:val="auto"/>
          <w:sz w:val="28"/>
          <w:szCs w:val="44"/>
          <w:highlight w:val="none"/>
          <w:lang w:val="en-US" w:eastAsia="zh-CN" w:bidi="ar-SA"/>
        </w:rPr>
        <w:outlineLvl w:val="0"/>
      </w:pPr>
      <w:r>
        <w:rPr>
          <w:rFonts w:hint="eastAsia" w:ascii="黑体" w:hAnsi="黑体" w:eastAsia="黑体" w:cs="黑体"/>
          <w:b/>
          <w:bCs/>
          <w:color w:val="auto"/>
          <w:sz w:val="28"/>
          <w:szCs w:val="21"/>
          <w:highlight w:val="none"/>
          <w:lang w:val="en-US" w:eastAsia="zh-CN" w:bidi="ar-SA"/>
        </w:rPr>
        <w:br w:type="page" w:clear="all"/>
      </w:r>
      <w:bookmarkStart w:id="24" w:name="_Toc80122289"/>
      <w:r/>
      <w:bookmarkStart w:id="25" w:name="_Toc3322"/>
      <w:r/>
      <w:bookmarkStart w:id="26" w:name="_Toc16162"/>
      <w:r>
        <w:rPr>
          <w:rFonts w:hint="eastAsia" w:ascii="黑体" w:hAnsi="黑体" w:eastAsia="黑体" w:cs="黑体"/>
          <w:b/>
          <w:bCs/>
          <w:color w:val="auto"/>
          <w:sz w:val="28"/>
          <w:szCs w:val="21"/>
          <w:highlight w:val="none"/>
          <w:lang w:val="en-US" w:eastAsia="zh-CN" w:bidi="ar-SA"/>
        </w:rPr>
        <w:t xml:space="preserve">第七章 评分细则</w:t>
      </w:r>
      <w:bookmarkEnd w:id="24"/>
      <w:r/>
      <w:bookmarkEnd w:id="25"/>
      <w:r/>
      <w:bookmarkEnd w:id="26"/>
      <w:r>
        <w:rPr>
          <w:rFonts w:hint="eastAsia" w:ascii="黑体" w:hAnsi="黑体" w:eastAsia="黑体" w:cs="黑体"/>
          <w:b/>
          <w:bCs/>
          <w:color w:val="auto"/>
          <w:sz w:val="28"/>
          <w:szCs w:val="21"/>
          <w:highlight w:val="none"/>
          <w:lang w:val="en-US" w:eastAsia="zh-CN" w:bidi="ar-SA"/>
        </w:rPr>
        <w:t xml:space="preserve">（综合评分法）（采购包1-采购包5）</w:t>
      </w:r>
      <w:r/>
    </w:p>
    <w:tbl>
      <w:tblPr>
        <w:tblStyle w:val="1039"/>
        <w:tblW w:w="1039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555"/>
        <w:gridCol w:w="1114"/>
        <w:gridCol w:w="7730"/>
      </w:tblGrid>
      <w:tr>
        <w:trPr>
          <w:jc w:val="center"/>
          <w:trHeight w:val="540"/>
        </w:trPr>
        <w:tc>
          <w:tcPr>
            <w:gridSpan w:val="2"/>
            <w:tcW w:w="2669" w:type="dxa"/>
            <w:vAlign w:val="center"/>
            <w:textDirection w:val="lrTb"/>
            <w:noWrap w:val="false"/>
          </w:tcPr>
          <w:p>
            <w:pPr>
              <w:jc w:val="center"/>
              <w:spacing w:line="360" w:lineRule="auto"/>
              <w:widowControl/>
              <w:rPr>
                <w:rFonts w:hint="eastAsia" w:ascii="黑体" w:hAnsi="黑体" w:eastAsia="黑体" w:cs="黑体"/>
                <w:color w:val="auto"/>
                <w:szCs w:val="21"/>
                <w:highlight w:val="none"/>
              </w:rPr>
            </w:pPr>
            <w:r/>
            <w:bookmarkStart w:id="27" w:name="_Toc80122290"/>
            <w:r>
              <w:rPr>
                <w:rFonts w:hint="eastAsia" w:ascii="黑体" w:hAnsi="黑体" w:eastAsia="黑体" w:cs="黑体"/>
                <w:color w:val="auto"/>
                <w:szCs w:val="21"/>
                <w:highlight w:val="none"/>
              </w:rPr>
              <w:t xml:space="preserve">评审因素</w:t>
            </w:r>
            <w:r/>
          </w:p>
        </w:tc>
        <w:tc>
          <w:tcPr>
            <w:tcW w:w="7730" w:type="dxa"/>
            <w:vAlign w:val="center"/>
            <w:textDirection w:val="lrTb"/>
            <w:noWrap w:val="false"/>
          </w:tcPr>
          <w:p>
            <w:pPr>
              <w:jc w:val="cente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评审因素细化和量化</w:t>
            </w:r>
            <w:r/>
          </w:p>
        </w:tc>
      </w:tr>
      <w:tr>
        <w:trPr>
          <w:jc w:val="center"/>
          <w:trHeight w:val="2255"/>
        </w:trPr>
        <w:tc>
          <w:tcPr>
            <w:tcW w:w="1555" w:type="dxa"/>
            <w:vAlign w:val="center"/>
            <w:textDirection w:val="lrTb"/>
            <w:noWrap w:val="false"/>
          </w:tcPr>
          <w:p>
            <w:pPr>
              <w:jc w:val="cente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价格</w:t>
            </w:r>
            <w:r/>
          </w:p>
          <w:p>
            <w:pPr>
              <w:jc w:val="cente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部分</w:t>
            </w:r>
            <w:r/>
          </w:p>
          <w:p>
            <w:pPr>
              <w:jc w:val="cente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（20分）</w:t>
            </w:r>
            <w:r/>
          </w:p>
        </w:tc>
        <w:tc>
          <w:tcPr>
            <w:tcW w:w="1114" w:type="dxa"/>
            <w:vAlign w:val="center"/>
            <w:textDirection w:val="lrTb"/>
            <w:noWrap w:val="false"/>
          </w:tcPr>
          <w:p>
            <w:pPr>
              <w:jc w:val="cente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价格</w:t>
            </w:r>
            <w:r/>
          </w:p>
          <w:p>
            <w:pPr>
              <w:jc w:val="cente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（20分）</w:t>
            </w:r>
            <w:r/>
          </w:p>
        </w:tc>
        <w:tc>
          <w:tcPr>
            <w:tcW w:w="7730" w:type="dxa"/>
            <w:vAlign w:val="center"/>
            <w:textDirection w:val="lrTb"/>
            <w:noWrap w:val="false"/>
          </w:tcPr>
          <w:p>
            <w:pP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本项目报价方式采用优惠率报价。</w:t>
            </w:r>
            <w:r/>
          </w:p>
          <w:p>
            <w:pP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以满足磋商文件要求且最终优惠率报价最高的供应商的价格为计算依据，磋商基准价=（1-最高优惠率），其价格分为满分。其他供应商的价格分统一按照下列公式计算：磋商报价得分=磋商基准价/（1-最终优惠率）×20。</w:t>
            </w:r>
            <w:r/>
          </w:p>
          <w:p>
            <w:pP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例如：报价优惠率为3%、5%、8%，则最高的8%为计算依据，磋商基准价=（1-8%）=92%。其他供应商的价格分=92%/（1-供应商最终优惠率）×20</w:t>
            </w:r>
            <w:r/>
          </w:p>
          <w:p>
            <w:pP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得分四舍五入保留小数点后2位。</w:t>
            </w:r>
            <w:r/>
          </w:p>
        </w:tc>
      </w:tr>
      <w:tr>
        <w:trPr>
          <w:cantSplit/>
          <w:jc w:val="center"/>
          <w:trHeight w:val="3095"/>
        </w:trPr>
        <w:tc>
          <w:tcPr>
            <w:tcW w:w="1555" w:type="dxa"/>
            <w:vAlign w:val="center"/>
            <w:vMerge w:val="restart"/>
            <w:textDirection w:val="lrTb"/>
            <w:noWrap w:val="false"/>
          </w:tcPr>
          <w:p>
            <w:pPr>
              <w:jc w:val="cente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技术</w:t>
            </w:r>
            <w:r/>
          </w:p>
          <w:p>
            <w:pPr>
              <w:jc w:val="cente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部分</w:t>
            </w:r>
            <w:r/>
          </w:p>
          <w:p>
            <w:pPr>
              <w:jc w:val="cente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（73分）</w:t>
            </w:r>
            <w:r/>
          </w:p>
          <w:p>
            <w:pPr>
              <w:jc w:val="cente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W w:w="1114" w:type="dxa"/>
            <w:vAlign w:val="center"/>
            <w:vMerge w:val="restart"/>
            <w:textDirection w:val="lrTb"/>
            <w:noWrap w:val="false"/>
          </w:tcPr>
          <w:p>
            <w:pPr>
              <w:jc w:val="center"/>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修复方案及质量保证措施</w:t>
            </w:r>
            <w:r/>
          </w:p>
          <w:p>
            <w:pPr>
              <w:jc w:val="cente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（26分）</w:t>
            </w:r>
            <w:r/>
          </w:p>
        </w:tc>
        <w:tc>
          <w:tcPr>
            <w:tcBorders>
              <w:bottom w:val="single" w:color="auto" w:sz="4" w:space="0"/>
            </w:tcBorders>
            <w:tcW w:w="7730" w:type="dxa"/>
            <w:vAlign w:val="center"/>
            <w:textDirection w:val="lrTb"/>
            <w:noWrap w:val="false"/>
          </w:tcPr>
          <w:p>
            <w:pP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根据响应文件中市政道路</w:t>
            </w:r>
            <w:r>
              <w:rPr>
                <w:rFonts w:hint="eastAsia" w:ascii="黑体" w:hAnsi="黑体" w:eastAsia="黑体" w:cs="黑体"/>
                <w:color w:val="auto"/>
                <w:szCs w:val="21"/>
                <w:highlight w:val="none"/>
                <w:lang w:val="en-US" w:eastAsia="zh-CN"/>
              </w:rPr>
              <w:t xml:space="preserve">修复</w:t>
            </w:r>
            <w:r>
              <w:rPr>
                <w:rFonts w:hint="eastAsia" w:ascii="黑体" w:hAnsi="黑体" w:eastAsia="黑体" w:cs="黑体"/>
                <w:color w:val="auto"/>
                <w:szCs w:val="21"/>
                <w:highlight w:val="none"/>
              </w:rPr>
              <w:t xml:space="preserve">方案及质量保证措施进行综合评价，包含不限于沥青路面、人行道板、人行道平侧石、桥梁及附属设施、窨井调整等市政道路设施</w:t>
            </w:r>
            <w:r>
              <w:rPr>
                <w:rFonts w:hint="eastAsia" w:ascii="黑体" w:hAnsi="黑体" w:eastAsia="黑体" w:cs="黑体"/>
                <w:color w:val="auto"/>
                <w:szCs w:val="21"/>
                <w:highlight w:val="none"/>
                <w:lang w:val="en-US" w:eastAsia="zh-CN"/>
              </w:rPr>
              <w:t xml:space="preserve">修复</w:t>
            </w:r>
            <w:r>
              <w:rPr>
                <w:rFonts w:hint="eastAsia" w:ascii="黑体" w:hAnsi="黑体" w:eastAsia="黑体" w:cs="黑体"/>
                <w:color w:val="auto"/>
                <w:szCs w:val="21"/>
                <w:highlight w:val="none"/>
              </w:rPr>
              <w:t xml:space="preserve">方案，针对各类</w:t>
            </w:r>
            <w:r>
              <w:rPr>
                <w:rFonts w:hint="eastAsia" w:ascii="黑体" w:hAnsi="黑体" w:eastAsia="黑体" w:cs="黑体"/>
                <w:color w:val="auto"/>
                <w:szCs w:val="21"/>
                <w:highlight w:val="none"/>
                <w:lang w:val="en-US" w:eastAsia="zh-CN"/>
              </w:rPr>
              <w:t xml:space="preserve">修复</w:t>
            </w:r>
            <w:r>
              <w:rPr>
                <w:rFonts w:hint="eastAsia" w:ascii="黑体" w:hAnsi="黑体" w:eastAsia="黑体" w:cs="黑体"/>
                <w:color w:val="auto"/>
                <w:szCs w:val="21"/>
                <w:highlight w:val="none"/>
              </w:rPr>
              <w:t xml:space="preserve">养护问题采用不同的养护维修工艺或处理方法。对内容的全面性、针对性、可行性进行评价</w:t>
            </w:r>
            <w:r/>
          </w:p>
          <w:p>
            <w:pPr>
              <w:ind w:left="0"/>
              <w:jc w:val="lef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全面性(5分)：全面具体详实得5分；较全面得4分；全面性一般得3分；内容有缺陷得2分；无内容的得0分。</w:t>
            </w:r>
            <w:r/>
          </w:p>
          <w:p>
            <w:pPr>
              <w:ind w:left="0"/>
              <w:jc w:val="lef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针对性(5分)：针对性强得5分；针对性较强得4分；针对性一般得3分；内容有缺陷得2分；无内容的得0分。</w:t>
            </w:r>
            <w:r/>
          </w:p>
          <w:p>
            <w:pPr>
              <w:ind w:left="0"/>
              <w:jc w:val="lef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可行性(4分)：符合实际切实可行得4分；较切实可行得3分；可行性一般得2分；可行性欠缺得1分；无内容的得0分。</w:t>
            </w:r>
            <w:r/>
          </w:p>
          <w:p>
            <w:pP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本项最高得14分，最低得0分。</w:t>
            </w:r>
            <w:r/>
          </w:p>
        </w:tc>
      </w:tr>
      <w:tr>
        <w:trPr>
          <w:cantSplit/>
          <w:jc w:val="center"/>
          <w:trHeight w:val="2815"/>
        </w:trPr>
        <w:tc>
          <w:tcPr>
            <w:tcW w:w="1555" w:type="dxa"/>
            <w:vAlign w:val="top"/>
            <w:vMerge w:val="continue"/>
            <w:textDirection w:val="lrTb"/>
            <w:noWrap w:val="false"/>
          </w:tcPr>
          <w:p>
            <w:pPr>
              <w:jc w:val="cente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bottom w:val="single" w:color="auto" w:sz="4" w:space="0"/>
            </w:tcBorders>
            <w:tcW w:w="1114" w:type="dxa"/>
            <w:vAlign w:val="center"/>
            <w:vMerge w:val="continue"/>
            <w:textDirection w:val="lrTb"/>
            <w:noWrap w:val="false"/>
          </w:tcPr>
          <w:p>
            <w:pPr>
              <w:jc w:val="left"/>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4" w:space="0"/>
              <w:bottom w:val="single" w:color="auto" w:sz="4" w:space="0"/>
            </w:tcBorders>
            <w:tcW w:w="7730" w:type="dxa"/>
            <w:vAlign w:val="center"/>
            <w:textDirection w:val="lrTb"/>
            <w:noWrap w:val="false"/>
          </w:tcPr>
          <w:p>
            <w:pP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lang w:val="en-US" w:eastAsia="zh-CN"/>
              </w:rPr>
              <w:t xml:space="preserve">修复</w:t>
            </w:r>
            <w:r>
              <w:rPr>
                <w:rFonts w:hint="eastAsia" w:ascii="黑体" w:hAnsi="黑体" w:eastAsia="黑体" w:cs="黑体"/>
                <w:color w:val="auto"/>
                <w:szCs w:val="21"/>
                <w:highlight w:val="none"/>
              </w:rPr>
              <w:t xml:space="preserve">资料管理，根据响应文件中市政道路</w:t>
            </w:r>
            <w:r>
              <w:rPr>
                <w:rFonts w:hint="eastAsia" w:ascii="黑体" w:hAnsi="黑体" w:eastAsia="黑体" w:cs="黑体"/>
                <w:color w:val="auto"/>
                <w:szCs w:val="21"/>
                <w:highlight w:val="none"/>
                <w:lang w:val="en-US" w:eastAsia="zh-CN"/>
              </w:rPr>
              <w:t xml:space="preserve">零星沟槽修复</w:t>
            </w:r>
            <w:r>
              <w:rPr>
                <w:rFonts w:hint="eastAsia" w:ascii="黑体" w:hAnsi="黑体" w:eastAsia="黑体" w:cs="黑体"/>
                <w:color w:val="auto"/>
                <w:szCs w:val="21"/>
                <w:highlight w:val="none"/>
              </w:rPr>
              <w:t xml:space="preserve">资料管理方案，日常</w:t>
            </w:r>
            <w:r>
              <w:rPr>
                <w:rFonts w:hint="eastAsia" w:ascii="黑体" w:hAnsi="黑体" w:eastAsia="黑体" w:cs="黑体"/>
                <w:color w:val="auto"/>
                <w:szCs w:val="21"/>
                <w:highlight w:val="none"/>
                <w:lang w:val="en-US" w:eastAsia="zh-CN"/>
              </w:rPr>
              <w:t xml:space="preserve">修复</w:t>
            </w:r>
            <w:r>
              <w:rPr>
                <w:rFonts w:hint="eastAsia" w:ascii="黑体" w:hAnsi="黑体" w:eastAsia="黑体" w:cs="黑体"/>
                <w:color w:val="auto"/>
                <w:szCs w:val="21"/>
                <w:highlight w:val="none"/>
              </w:rPr>
              <w:t xml:space="preserve">、技术状况评价等资料的整理归档方案是否符合相关规范要求。对内容的全面性、针对性、可行性进行评价</w:t>
            </w:r>
            <w:r/>
          </w:p>
          <w:p>
            <w:pPr>
              <w:ind w:left="0"/>
              <w:jc w:val="lef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全面性(4分)：全面具体详实得4分；较全面得3分；全面性一般得2分；内容有缺陷得1分；无内容的得0分。</w:t>
            </w:r>
            <w:r/>
          </w:p>
          <w:p>
            <w:pPr>
              <w:ind w:left="0"/>
              <w:jc w:val="lef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针对性(4分)：针对性强得4分；针对性较强得3分；针对性一般得2分；内容有缺陷得1分；无内容的得0分。</w:t>
            </w:r>
            <w:r/>
          </w:p>
          <w:p>
            <w:pPr>
              <w:ind w:left="0"/>
              <w:jc w:val="lef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可行性(4分)：符合实际切实可行得4分；较切实可行得3分；可行性一般得2分；可行性欠缺得1分；无内容的得0分。</w:t>
            </w:r>
            <w:r/>
          </w:p>
          <w:p>
            <w:pP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本项最高得12分，最低得0分。</w:t>
            </w:r>
            <w:r/>
          </w:p>
        </w:tc>
      </w:tr>
      <w:tr>
        <w:trPr>
          <w:cantSplit/>
          <w:jc w:val="center"/>
          <w:trHeight w:val="1314"/>
        </w:trPr>
        <w:tc>
          <w:tcPr>
            <w:tcW w:w="1555" w:type="dxa"/>
            <w:vAlign w:val="top"/>
            <w:vMerge w:val="continue"/>
            <w:textDirection w:val="lrTb"/>
            <w:noWrap w:val="false"/>
          </w:tcPr>
          <w:p>
            <w:pPr>
              <w:jc w:val="cente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4" w:space="0"/>
            </w:tcBorders>
            <w:tcW w:w="1114" w:type="dxa"/>
            <w:vAlign w:val="center"/>
            <w:vMerge w:val="restart"/>
            <w:textDirection w:val="lrTb"/>
            <w:noWrap w:val="false"/>
          </w:tcPr>
          <w:p>
            <w:pPr>
              <w:jc w:val="cente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项目管理班子人员配备、素质及管理经验       （</w:t>
            </w:r>
            <w:r>
              <w:rPr>
                <w:rFonts w:hint="eastAsia" w:ascii="黑体" w:hAnsi="黑体" w:eastAsia="黑体" w:cs="黑体"/>
                <w:color w:val="auto"/>
                <w:sz w:val="24"/>
                <w:szCs w:val="24"/>
                <w:highlight w:val="none"/>
              </w:rPr>
              <w:t xml:space="preserve">15</w:t>
            </w:r>
            <w:r>
              <w:rPr>
                <w:rFonts w:hint="eastAsia" w:ascii="黑体" w:hAnsi="黑体" w:eastAsia="黑体" w:cs="黑体"/>
                <w:color w:val="auto"/>
                <w:szCs w:val="21"/>
                <w:highlight w:val="none"/>
              </w:rPr>
              <w:t xml:space="preserve">分）</w:t>
            </w:r>
            <w:r/>
          </w:p>
        </w:tc>
        <w:tc>
          <w:tcPr>
            <w:tcBorders>
              <w:top w:val="single" w:color="auto" w:sz="4" w:space="0"/>
              <w:bottom w:val="single" w:color="auto" w:sz="4" w:space="0"/>
            </w:tcBorders>
            <w:tcW w:w="7730" w:type="dxa"/>
            <w:vAlign w:val="center"/>
            <w:textDirection w:val="lrTb"/>
            <w:noWrap w:val="false"/>
          </w:tcPr>
          <w:p>
            <w:pP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1、除项目负责人外，本项目还必须配备安全员至少一名，须具有安全员岗位证书，有一个得4分，最高得4分。</w:t>
            </w:r>
            <w:r/>
          </w:p>
          <w:p>
            <w:pPr>
              <w:spacing w:line="360" w:lineRule="auto"/>
              <w:widowControl/>
              <w:rPr>
                <w:rFonts w:hint="eastAsia" w:ascii="黑体" w:hAnsi="黑体" w:eastAsia="黑体" w:cs="黑体"/>
                <w:color w:val="auto"/>
                <w:szCs w:val="21"/>
                <w:highlight w:val="none"/>
              </w:rPr>
            </w:pPr>
            <w:r>
              <w:rPr>
                <w:rFonts w:hint="eastAsia" w:ascii="黑体" w:hAnsi="黑体" w:eastAsia="黑体" w:cs="黑体"/>
                <w:b/>
                <w:bCs/>
                <w:color w:val="auto"/>
                <w:szCs w:val="21"/>
                <w:highlight w:val="none"/>
              </w:rPr>
              <w:t xml:space="preserve">响应文件中提供安全员证书原件扫描件及开标前6个月内任何1个月本企业</w:t>
            </w:r>
            <w:r>
              <w:rPr>
                <w:rFonts w:hint="eastAsia" w:ascii="黑体" w:hAnsi="黑体" w:eastAsia="黑体" w:cs="黑体"/>
                <w:b/>
                <w:bCs/>
                <w:color w:val="auto"/>
                <w:szCs w:val="21"/>
                <w:highlight w:val="none"/>
                <w:lang w:val="en-US" w:eastAsia="zh-CN"/>
              </w:rPr>
              <w:t xml:space="preserve">为其</w:t>
            </w:r>
            <w:r>
              <w:rPr>
                <w:rFonts w:hint="eastAsia" w:ascii="黑体" w:hAnsi="黑体" w:eastAsia="黑体" w:cs="黑体"/>
                <w:b/>
                <w:bCs/>
                <w:color w:val="auto"/>
                <w:szCs w:val="21"/>
                <w:highlight w:val="none"/>
              </w:rPr>
              <w:t xml:space="preserve">缴纳的社保证明原件扫描件，否则不得分。</w:t>
            </w:r>
            <w:r/>
          </w:p>
        </w:tc>
      </w:tr>
      <w:tr>
        <w:trPr>
          <w:cantSplit/>
          <w:jc w:val="center"/>
          <w:trHeight w:val="2255"/>
        </w:trPr>
        <w:tc>
          <w:tcPr>
            <w:tcW w:w="1555" w:type="dxa"/>
            <w:vAlign w:val="top"/>
            <w:vMerge w:val="continue"/>
            <w:textDirection w:val="lrTb"/>
            <w:noWrap w:val="false"/>
          </w:tcPr>
          <w:p>
            <w:pPr>
              <w:jc w:val="cente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W w:w="1114" w:type="dxa"/>
            <w:vAlign w:val="center"/>
            <w:vMerge w:val="continue"/>
            <w:textDirection w:val="lrTb"/>
            <w:noWrap w:val="false"/>
          </w:tcPr>
          <w:p>
            <w:pPr>
              <w:jc w:val="cente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4" w:space="0"/>
              <w:bottom w:val="single" w:color="auto" w:sz="4" w:space="0"/>
            </w:tcBorders>
            <w:tcW w:w="7730" w:type="dxa"/>
            <w:vAlign w:val="center"/>
            <w:textDirection w:val="lrTb"/>
            <w:noWrap w:val="false"/>
          </w:tcPr>
          <w:p>
            <w:pP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根据响应文件中项目管理班子的人员配备、素质及管理经验进行综合评价，项目负责人、技术负责人、质量负责人、机械设备负责人等配备明确，项目组管理人员有较高的文化素质(大专及以上学历)、技术能力(有</w:t>
            </w:r>
            <w:r>
              <w:rPr>
                <w:rFonts w:hint="eastAsia" w:ascii="黑体" w:hAnsi="黑体" w:eastAsia="黑体" w:cs="黑体"/>
                <w:color w:val="auto"/>
                <w:szCs w:val="21"/>
                <w:highlight w:val="none"/>
                <w:lang w:val="en-US" w:eastAsia="zh-CN"/>
              </w:rPr>
              <w:t xml:space="preserve">执</w:t>
            </w:r>
            <w:r>
              <w:rPr>
                <w:rFonts w:hint="eastAsia" w:ascii="黑体" w:hAnsi="黑体" w:eastAsia="黑体" w:cs="黑体"/>
                <w:color w:val="auto"/>
                <w:szCs w:val="21"/>
                <w:highlight w:val="none"/>
              </w:rPr>
              <w:t xml:space="preserve">业</w:t>
            </w:r>
            <w:r>
              <w:rPr>
                <w:rFonts w:hint="eastAsia" w:ascii="黑体" w:hAnsi="黑体" w:eastAsia="黑体" w:cs="黑体"/>
                <w:color w:val="auto"/>
                <w:szCs w:val="21"/>
                <w:highlight w:val="none"/>
                <w:lang w:val="en-US" w:eastAsia="zh-CN"/>
              </w:rPr>
              <w:t xml:space="preserve">资格</w:t>
            </w:r>
            <w:r>
              <w:rPr>
                <w:rFonts w:hint="eastAsia" w:ascii="黑体" w:hAnsi="黑体" w:eastAsia="黑体" w:cs="黑体"/>
                <w:color w:val="auto"/>
                <w:szCs w:val="21"/>
                <w:highlight w:val="none"/>
              </w:rPr>
              <w:t xml:space="preserve">)：</w:t>
            </w:r>
            <w:r/>
          </w:p>
          <w:p>
            <w:pP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人员配备全面、科学合理、针对性强的得5分；</w:t>
            </w:r>
            <w:r/>
          </w:p>
          <w:p>
            <w:pP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人员配备一般、基本可行的得3分；</w:t>
            </w:r>
            <w:r/>
          </w:p>
          <w:p>
            <w:pP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人员配备较差或无具体管理班子的得</w:t>
            </w:r>
            <w:r>
              <w:rPr>
                <w:rFonts w:hint="eastAsia" w:ascii="黑体" w:hAnsi="黑体" w:eastAsia="黑体" w:cs="黑体"/>
                <w:color w:val="auto"/>
                <w:szCs w:val="21"/>
                <w:highlight w:val="none"/>
                <w:lang w:val="en-US" w:eastAsia="zh-CN"/>
              </w:rPr>
              <w:t xml:space="preserve">0</w:t>
            </w:r>
            <w:r>
              <w:rPr>
                <w:rFonts w:hint="eastAsia" w:ascii="黑体" w:hAnsi="黑体" w:eastAsia="黑体" w:cs="黑体"/>
                <w:color w:val="auto"/>
                <w:szCs w:val="21"/>
                <w:highlight w:val="none"/>
              </w:rPr>
              <w:t xml:space="preserve">分。本项最高得</w:t>
            </w:r>
            <w:r>
              <w:rPr>
                <w:rFonts w:hint="eastAsia" w:ascii="黑体" w:hAnsi="黑体" w:eastAsia="黑体" w:cs="黑体"/>
                <w:color w:val="auto"/>
                <w:szCs w:val="21"/>
                <w:highlight w:val="none"/>
                <w:lang w:val="en-US" w:eastAsia="zh-CN"/>
              </w:rPr>
              <w:t xml:space="preserve">5</w:t>
            </w:r>
            <w:r>
              <w:rPr>
                <w:rFonts w:hint="eastAsia" w:ascii="黑体" w:hAnsi="黑体" w:eastAsia="黑体" w:cs="黑体"/>
                <w:color w:val="auto"/>
                <w:szCs w:val="21"/>
                <w:highlight w:val="none"/>
              </w:rPr>
              <w:t xml:space="preserve">分，最低得0分。</w:t>
            </w:r>
            <w:r/>
          </w:p>
          <w:p>
            <w:pPr>
              <w:spacing w:line="360" w:lineRule="auto"/>
              <w:widowControl/>
              <w:rPr>
                <w:rFonts w:hint="eastAsia" w:ascii="黑体" w:hAnsi="黑体" w:eastAsia="黑体" w:cs="黑体"/>
                <w:b/>
                <w:bCs/>
                <w:color w:val="auto"/>
                <w:szCs w:val="21"/>
                <w:highlight w:val="none"/>
                <w:lang w:bidi="hi-IN"/>
              </w:rPr>
            </w:pPr>
            <w:r>
              <w:rPr>
                <w:rFonts w:hint="eastAsia" w:ascii="黑体" w:hAnsi="黑体" w:eastAsia="黑体" w:cs="黑体"/>
                <w:b/>
                <w:bCs/>
                <w:color w:val="auto"/>
                <w:szCs w:val="21"/>
                <w:highlight w:val="none"/>
              </w:rPr>
              <w:t xml:space="preserve">注：响应文件中提供人员证明材料原件扫描件及开标前6个月内任何1个月本企业缴纳的社保证明原件扫描件，否则不得分。</w:t>
            </w:r>
            <w:r/>
          </w:p>
        </w:tc>
      </w:tr>
      <w:tr>
        <w:trPr>
          <w:cantSplit/>
          <w:jc w:val="center"/>
          <w:trHeight w:val="1426"/>
        </w:trPr>
        <w:tc>
          <w:tcPr>
            <w:tcW w:w="1555" w:type="dxa"/>
            <w:vAlign w:val="top"/>
            <w:vMerge w:val="continue"/>
            <w:textDirection w:val="lrTb"/>
            <w:noWrap w:val="false"/>
          </w:tcPr>
          <w:p>
            <w:pPr>
              <w:jc w:val="cente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bottom w:val="single" w:color="auto" w:sz="4" w:space="0"/>
            </w:tcBorders>
            <w:tcW w:w="1114" w:type="dxa"/>
            <w:vAlign w:val="center"/>
            <w:vMerge w:val="continue"/>
            <w:textDirection w:val="lrTb"/>
            <w:noWrap w:val="false"/>
          </w:tcPr>
          <w:p>
            <w:pPr>
              <w:jc w:val="cente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4" w:space="0"/>
              <w:bottom w:val="single" w:color="auto" w:sz="4" w:space="0"/>
            </w:tcBorders>
            <w:tcW w:w="7730" w:type="dxa"/>
            <w:vAlign w:val="center"/>
            <w:textDirection w:val="lrTb"/>
            <w:noWrap w:val="false"/>
          </w:tcPr>
          <w:p>
            <w:pP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3、根据响应文件中项目</w:t>
            </w:r>
            <w:r>
              <w:rPr>
                <w:rFonts w:hint="eastAsia" w:ascii="黑体" w:hAnsi="黑体" w:eastAsia="黑体" w:cs="黑体"/>
                <w:color w:val="auto"/>
                <w:szCs w:val="21"/>
                <w:highlight w:val="none"/>
                <w:lang w:val="en-US" w:eastAsia="zh-CN"/>
              </w:rPr>
              <w:t xml:space="preserve">修复</w:t>
            </w:r>
            <w:r>
              <w:rPr>
                <w:rFonts w:hint="eastAsia" w:ascii="黑体" w:hAnsi="黑体" w:eastAsia="黑体" w:cs="黑体"/>
                <w:color w:val="auto"/>
                <w:szCs w:val="21"/>
                <w:highlight w:val="none"/>
              </w:rPr>
              <w:t xml:space="preserve">养护人员安排，数量充足，配置合理，投入本项目的班组人员需固定：</w:t>
            </w:r>
            <w:r/>
          </w:p>
          <w:p>
            <w:pP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根据响应文件中</w:t>
            </w:r>
            <w:r>
              <w:rPr>
                <w:rFonts w:hint="eastAsia" w:ascii="黑体" w:hAnsi="黑体" w:eastAsia="黑体" w:cs="黑体"/>
                <w:color w:val="auto"/>
                <w:szCs w:val="21"/>
                <w:highlight w:val="none"/>
                <w:lang w:val="en-US" w:eastAsia="zh-CN"/>
              </w:rPr>
              <w:t xml:space="preserve">修复</w:t>
            </w:r>
            <w:r>
              <w:rPr>
                <w:rFonts w:hint="eastAsia" w:ascii="黑体" w:hAnsi="黑体" w:eastAsia="黑体" w:cs="黑体"/>
                <w:color w:val="auto"/>
                <w:szCs w:val="21"/>
                <w:highlight w:val="none"/>
              </w:rPr>
              <w:t xml:space="preserve">养护人员数量计划安排合理、分工明确得6分；</w:t>
            </w:r>
            <w:r/>
          </w:p>
          <w:p>
            <w:pP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养护人员数量安排基本合理、分工基本明确得4分；</w:t>
            </w:r>
            <w:r/>
          </w:p>
          <w:p>
            <w:pP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养护人员数量安排</w:t>
            </w:r>
            <w:r>
              <w:rPr>
                <w:rFonts w:hint="eastAsia" w:ascii="黑体" w:hAnsi="黑体" w:eastAsia="黑体" w:cs="黑体"/>
                <w:color w:val="auto"/>
                <w:szCs w:val="21"/>
                <w:highlight w:val="none"/>
                <w:lang w:val="en-US" w:eastAsia="zh-CN"/>
              </w:rPr>
              <w:t xml:space="preserve">一般</w:t>
            </w:r>
            <w:r>
              <w:rPr>
                <w:rFonts w:hint="eastAsia" w:ascii="黑体" w:hAnsi="黑体" w:eastAsia="黑体" w:cs="黑体"/>
                <w:color w:val="auto"/>
                <w:szCs w:val="21"/>
                <w:highlight w:val="none"/>
              </w:rPr>
              <w:t xml:space="preserve">、分工</w:t>
            </w:r>
            <w:r>
              <w:rPr>
                <w:rFonts w:hint="eastAsia" w:ascii="黑体" w:hAnsi="黑体" w:eastAsia="黑体" w:cs="黑体"/>
                <w:color w:val="auto"/>
                <w:szCs w:val="21"/>
                <w:highlight w:val="none"/>
                <w:lang w:val="en-US" w:eastAsia="zh-CN"/>
              </w:rPr>
              <w:t xml:space="preserve">不</w:t>
            </w:r>
            <w:r>
              <w:rPr>
                <w:rFonts w:hint="eastAsia" w:ascii="黑体" w:hAnsi="黑体" w:eastAsia="黑体" w:cs="黑体"/>
                <w:color w:val="auto"/>
                <w:szCs w:val="21"/>
                <w:highlight w:val="none"/>
              </w:rPr>
              <w:t xml:space="preserve">明确得</w:t>
            </w:r>
            <w:r>
              <w:rPr>
                <w:rFonts w:hint="eastAsia" w:ascii="黑体" w:hAnsi="黑体" w:eastAsia="黑体" w:cs="黑体"/>
                <w:color w:val="auto"/>
                <w:szCs w:val="21"/>
                <w:highlight w:val="none"/>
                <w:lang w:val="en-US" w:eastAsia="zh-CN"/>
              </w:rPr>
              <w:t xml:space="preserve">2</w:t>
            </w:r>
            <w:r>
              <w:rPr>
                <w:rFonts w:hint="eastAsia" w:ascii="黑体" w:hAnsi="黑体" w:eastAsia="黑体" w:cs="黑体"/>
                <w:color w:val="auto"/>
                <w:szCs w:val="21"/>
                <w:highlight w:val="none"/>
              </w:rPr>
              <w:t xml:space="preserve">分；</w:t>
            </w:r>
            <w:r/>
          </w:p>
          <w:p>
            <w:pP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人员配备较差或未提供综合养护人员配置计划的的得</w:t>
            </w:r>
            <w:r>
              <w:rPr>
                <w:rFonts w:hint="eastAsia" w:ascii="黑体" w:hAnsi="黑体" w:eastAsia="黑体" w:cs="黑体"/>
                <w:color w:val="auto"/>
                <w:szCs w:val="21"/>
                <w:highlight w:val="none"/>
                <w:lang w:val="en-US" w:eastAsia="zh-CN"/>
              </w:rPr>
              <w:t xml:space="preserve">0</w:t>
            </w:r>
            <w:r>
              <w:rPr>
                <w:rFonts w:hint="eastAsia" w:ascii="黑体" w:hAnsi="黑体" w:eastAsia="黑体" w:cs="黑体"/>
                <w:color w:val="auto"/>
                <w:szCs w:val="21"/>
                <w:highlight w:val="none"/>
              </w:rPr>
              <w:t xml:space="preserve">分。</w:t>
            </w:r>
            <w:r/>
          </w:p>
          <w:p>
            <w:pP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本项最高得</w:t>
            </w:r>
            <w:r>
              <w:rPr>
                <w:rFonts w:hint="eastAsia" w:ascii="黑体" w:hAnsi="黑体" w:eastAsia="黑体" w:cs="黑体"/>
                <w:color w:val="auto"/>
                <w:szCs w:val="21"/>
                <w:highlight w:val="none"/>
                <w:lang w:val="en-US" w:eastAsia="zh-CN"/>
              </w:rPr>
              <w:t xml:space="preserve">6</w:t>
            </w:r>
            <w:r>
              <w:rPr>
                <w:rFonts w:hint="eastAsia" w:ascii="黑体" w:hAnsi="黑体" w:eastAsia="黑体" w:cs="黑体"/>
                <w:color w:val="auto"/>
                <w:szCs w:val="21"/>
                <w:highlight w:val="none"/>
              </w:rPr>
              <w:t xml:space="preserve">分，最低得0分。</w:t>
            </w:r>
            <w:r/>
          </w:p>
        </w:tc>
      </w:tr>
      <w:tr>
        <w:trPr>
          <w:cantSplit/>
          <w:jc w:val="center"/>
          <w:trHeight w:val="3095"/>
        </w:trPr>
        <w:tc>
          <w:tcPr>
            <w:tcW w:w="1555" w:type="dxa"/>
            <w:vAlign w:val="top"/>
            <w:vMerge w:val="continue"/>
            <w:textDirection w:val="lrTb"/>
            <w:noWrap w:val="false"/>
          </w:tcPr>
          <w:p>
            <w:pPr>
              <w:jc w:val="cente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4" w:space="0"/>
              <w:bottom w:val="single" w:color="auto" w:sz="4" w:space="0"/>
            </w:tcBorders>
            <w:tcW w:w="1114" w:type="dxa"/>
            <w:vAlign w:val="center"/>
            <w:textDirection w:val="lrTb"/>
            <w:noWrap w:val="false"/>
          </w:tcPr>
          <w:p>
            <w:pPr>
              <w:jc w:val="cente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投入本项目的机械、设备</w:t>
            </w:r>
            <w:r/>
          </w:p>
          <w:p>
            <w:pPr>
              <w:jc w:val="cente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（10分）</w:t>
            </w:r>
            <w:r/>
          </w:p>
        </w:tc>
        <w:tc>
          <w:tcPr>
            <w:tcBorders>
              <w:top w:val="single" w:color="auto" w:sz="4" w:space="0"/>
              <w:bottom w:val="single" w:color="auto" w:sz="4" w:space="0"/>
            </w:tcBorders>
            <w:tcW w:w="7730" w:type="dxa"/>
            <w:vAlign w:val="center"/>
            <w:textDirection w:val="lrTb"/>
            <w:noWrap w:val="false"/>
          </w:tcPr>
          <w:p>
            <w:pP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根据响应文件中</w:t>
            </w:r>
            <w:r>
              <w:rPr>
                <w:rFonts w:hint="eastAsia" w:ascii="黑体" w:hAnsi="黑体" w:eastAsia="黑体" w:cs="黑体"/>
                <w:color w:val="auto"/>
                <w:szCs w:val="21"/>
                <w:highlight w:val="none"/>
                <w:lang w:eastAsia="zh-CN"/>
              </w:rPr>
              <w:t xml:space="preserve">供应商</w:t>
            </w:r>
            <w:r>
              <w:rPr>
                <w:rFonts w:hint="eastAsia" w:ascii="黑体" w:hAnsi="黑体" w:eastAsia="黑体" w:cs="黑体"/>
                <w:color w:val="auto"/>
                <w:szCs w:val="21"/>
                <w:highlight w:val="none"/>
              </w:rPr>
              <w:t xml:space="preserve">机械设备配置情况（如铣刨机、压路机、摊铺机、应急车辆等）须提供发票和车辆行驶证</w:t>
            </w:r>
            <w:r>
              <w:rPr>
                <w:rFonts w:hint="eastAsia" w:ascii="黑体" w:hAnsi="黑体" w:eastAsia="黑体" w:cs="黑体"/>
                <w:color w:val="auto"/>
                <w:szCs w:val="21"/>
                <w:highlight w:val="none"/>
                <w:lang w:val="en-US" w:eastAsia="zh-CN"/>
              </w:rPr>
              <w:t xml:space="preserve">原件扫描件</w:t>
            </w:r>
            <w:r>
              <w:rPr>
                <w:rFonts w:hint="eastAsia" w:ascii="黑体" w:hAnsi="黑体" w:eastAsia="黑体" w:cs="黑体"/>
                <w:color w:val="auto"/>
                <w:szCs w:val="21"/>
                <w:highlight w:val="none"/>
              </w:rPr>
              <w:t xml:space="preserve">；或设备为租赁的须提供租赁合同</w:t>
            </w:r>
            <w:r>
              <w:rPr>
                <w:rFonts w:hint="eastAsia" w:ascii="黑体" w:hAnsi="黑体" w:eastAsia="黑体" w:cs="黑体"/>
                <w:color w:val="auto"/>
                <w:szCs w:val="21"/>
                <w:highlight w:val="none"/>
                <w:lang w:val="en-US" w:eastAsia="zh-CN"/>
              </w:rPr>
              <w:t xml:space="preserve">原件扫描件</w:t>
            </w:r>
            <w:r>
              <w:rPr>
                <w:rFonts w:hint="eastAsia" w:ascii="黑体" w:hAnsi="黑体" w:eastAsia="黑体" w:cs="黑体"/>
                <w:color w:val="auto"/>
                <w:szCs w:val="21"/>
                <w:highlight w:val="none"/>
              </w:rPr>
              <w:t xml:space="preserve">；或保证提供相关机械设备用于本项目使用的承诺函（格式自拟加盖公章，否则不得分）根据内容的全面性、针对性、可行性进行评价</w:t>
            </w:r>
            <w:r/>
          </w:p>
          <w:p>
            <w:pPr>
              <w:ind w:left="0"/>
              <w:jc w:val="lef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全面性(4分)：全面具体详实得4分；较全面得3分；全面性一般得2分；内容有缺陷得1分；无内容的得0分。</w:t>
            </w:r>
            <w:r/>
          </w:p>
          <w:p>
            <w:pPr>
              <w:ind w:left="0"/>
              <w:jc w:val="lef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针对性(3分)：针对性强得3分；针对性较强得2分；针对性一般得1分；无内容的得0分。</w:t>
            </w:r>
            <w:r/>
          </w:p>
          <w:p>
            <w:pPr>
              <w:ind w:left="0"/>
              <w:jc w:val="lef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可行性(3分)：符合实际切实可行得3分；较切实可行得2分；可行性一般得1分；无内容的得0分。</w:t>
            </w:r>
            <w:r/>
          </w:p>
          <w:p>
            <w:pP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本项最高得10分，最低得0分。</w:t>
            </w:r>
            <w:r/>
          </w:p>
        </w:tc>
      </w:tr>
      <w:tr>
        <w:trPr>
          <w:cantSplit/>
          <w:jc w:val="center"/>
          <w:trHeight w:val="2535"/>
        </w:trPr>
        <w:tc>
          <w:tcPr>
            <w:tcW w:w="1555" w:type="dxa"/>
            <w:vAlign w:val="top"/>
            <w:vMerge w:val="continue"/>
            <w:textDirection w:val="lrTb"/>
            <w:noWrap w:val="false"/>
          </w:tcPr>
          <w:p>
            <w:pPr>
              <w:jc w:val="cente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4" w:space="0"/>
              <w:bottom w:val="single" w:color="auto" w:sz="4" w:space="0"/>
            </w:tcBorders>
            <w:tcW w:w="1114" w:type="dxa"/>
            <w:vAlign w:val="center"/>
            <w:textDirection w:val="lrTb"/>
            <w:noWrap w:val="false"/>
          </w:tcPr>
          <w:p>
            <w:pPr>
              <w:jc w:val="center"/>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安全文明</w:t>
            </w:r>
            <w:r/>
          </w:p>
          <w:p>
            <w:pPr>
              <w:jc w:val="center"/>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施工方案</w:t>
            </w:r>
            <w:r/>
          </w:p>
          <w:p>
            <w:pPr>
              <w:ind w:left="0" w:right="0" w:firstLine="0"/>
              <w:jc w:val="center"/>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（12分）</w:t>
            </w:r>
            <w:r/>
          </w:p>
        </w:tc>
        <w:tc>
          <w:tcPr>
            <w:tcBorders>
              <w:top w:val="single" w:color="auto" w:sz="4" w:space="0"/>
              <w:bottom w:val="single" w:color="auto" w:sz="4" w:space="0"/>
            </w:tcBorders>
            <w:tcW w:w="7730" w:type="dxa"/>
            <w:vAlign w:val="center"/>
            <w:textDirection w:val="lrTb"/>
            <w:noWrap w:val="false"/>
          </w:tcPr>
          <w:p>
            <w:pP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根据响应文件中安全文明施工及环境保护措施内容的全面性、针对性、可行性进行评价：</w:t>
            </w:r>
            <w:r/>
          </w:p>
          <w:p>
            <w:pPr>
              <w:ind w:left="0"/>
              <w:jc w:val="lef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全面性(4分)：全面具体详实得4分；较全面得3分；全面性一般得2分；内容有缺陷得1分；无内容的得0分。</w:t>
            </w:r>
            <w:r/>
          </w:p>
          <w:p>
            <w:pPr>
              <w:ind w:left="0"/>
              <w:jc w:val="lef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针对性(4分)：针对性强得4分；针对性较强得3分；针对性一般得2分；内容有缺陷得1分；无内容的得0分。</w:t>
            </w:r>
            <w:r/>
          </w:p>
          <w:p>
            <w:pPr>
              <w:ind w:left="0"/>
              <w:jc w:val="lef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可行性(4分)：符合实际切实可行得4分；较切实可行得3分；可行性一般得2分；内容有缺陷得1分；无内容的得0分。</w:t>
            </w:r>
            <w:r/>
          </w:p>
          <w:p>
            <w:pP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本项最高得1</w:t>
            </w:r>
            <w:r>
              <w:rPr>
                <w:rFonts w:hint="eastAsia" w:ascii="黑体" w:hAnsi="黑体" w:eastAsia="黑体" w:cs="黑体"/>
                <w:color w:val="auto"/>
                <w:szCs w:val="21"/>
                <w:highlight w:val="none"/>
                <w:lang w:val="en-US" w:eastAsia="zh-CN"/>
              </w:rPr>
              <w:t xml:space="preserve">2</w:t>
            </w:r>
            <w:r>
              <w:rPr>
                <w:rFonts w:hint="eastAsia" w:ascii="黑体" w:hAnsi="黑体" w:eastAsia="黑体" w:cs="黑体"/>
                <w:color w:val="auto"/>
                <w:szCs w:val="21"/>
                <w:highlight w:val="none"/>
              </w:rPr>
              <w:t xml:space="preserve">分，最低得0分。</w:t>
            </w:r>
            <w:r/>
          </w:p>
        </w:tc>
      </w:tr>
      <w:tr>
        <w:trPr>
          <w:cantSplit/>
          <w:jc w:val="center"/>
          <w:trHeight w:val="2535"/>
        </w:trPr>
        <w:tc>
          <w:tcPr>
            <w:tcW w:w="1555" w:type="dxa"/>
            <w:vAlign w:val="top"/>
            <w:vMerge w:val="continue"/>
            <w:textDirection w:val="lrTb"/>
            <w:noWrap w:val="false"/>
          </w:tcPr>
          <w:p>
            <w:pPr>
              <w:jc w:val="cente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4" w:space="0"/>
            </w:tcBorders>
            <w:tcW w:w="1114" w:type="dxa"/>
            <w:vAlign w:val="center"/>
            <w:textDirection w:val="lrTb"/>
            <w:noWrap w:val="false"/>
          </w:tcPr>
          <w:p>
            <w:pPr>
              <w:ind w:left="0" w:right="0" w:firstLine="0"/>
              <w:jc w:val="center"/>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应急响应方案</w:t>
            </w:r>
            <w:r/>
          </w:p>
          <w:p>
            <w:pPr>
              <w:ind w:left="0" w:right="0" w:firstLine="0"/>
              <w:jc w:val="center"/>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( 10分)</w:t>
            </w:r>
            <w:r/>
          </w:p>
        </w:tc>
        <w:tc>
          <w:tcPr>
            <w:tcBorders>
              <w:top w:val="single" w:color="auto" w:sz="4" w:space="0"/>
            </w:tcBorders>
            <w:tcW w:w="7730" w:type="dxa"/>
            <w:vAlign w:val="center"/>
            <w:textDirection w:val="lrTb"/>
            <w:noWrap w:val="false"/>
          </w:tcPr>
          <w:p>
            <w:pP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根据响应文件中针对应急保障措施(防汛、突发事件应急处理的人员配备、应急处置方案，落实专职人员等内容)内容的全面性、针对性、可行性进行评价</w:t>
            </w:r>
            <w:r/>
          </w:p>
          <w:p>
            <w:pPr>
              <w:ind w:left="0"/>
              <w:jc w:val="lef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全面性(4分)：全面具体详实得4分；较全面得3分；全面性一般得2分；内容有缺陷得1分；无内容的得0分。</w:t>
            </w:r>
            <w:r/>
          </w:p>
          <w:p>
            <w:pPr>
              <w:ind w:left="0"/>
              <w:jc w:val="lef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针对性(3分)：针对性强得3分；针对性较强得2分；针对性一般得1分；无内容的得0分。</w:t>
            </w:r>
            <w:r/>
          </w:p>
          <w:p>
            <w:pPr>
              <w:ind w:left="0"/>
              <w:jc w:val="lef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可行性(3分)：符合实际切实可行得3分；较切实可行得2分；可行性一般得1分；无内容的得0分。</w:t>
            </w:r>
            <w:r/>
          </w:p>
          <w:p>
            <w:pP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本项最高得10分，最低得0分。</w:t>
            </w:r>
            <w:r/>
          </w:p>
        </w:tc>
      </w:tr>
      <w:tr>
        <w:trPr>
          <w:cantSplit/>
          <w:jc w:val="center"/>
          <w:trHeight w:val="2255"/>
        </w:trPr>
        <w:tc>
          <w:tcPr>
            <w:tcW w:w="1555" w:type="dxa"/>
            <w:vAlign w:val="center"/>
            <w:vMerge w:val="restart"/>
            <w:textDirection w:val="lrTb"/>
            <w:noWrap w:val="false"/>
          </w:tcPr>
          <w:p>
            <w:pPr>
              <w:jc w:val="cente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商务</w:t>
            </w:r>
            <w:r/>
          </w:p>
          <w:p>
            <w:pPr>
              <w:jc w:val="cente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部分</w:t>
            </w:r>
            <w:r/>
          </w:p>
          <w:p>
            <w:pPr>
              <w:jc w:val="cente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（7分）</w:t>
            </w:r>
            <w:r/>
          </w:p>
        </w:tc>
        <w:tc>
          <w:tcPr>
            <w:tcBorders>
              <w:bottom w:val="single" w:color="auto" w:sz="4" w:space="0"/>
            </w:tcBorders>
            <w:tcW w:w="1114" w:type="dxa"/>
            <w:vAlign w:val="center"/>
            <w:textDirection w:val="lrTb"/>
            <w:noWrap w:val="false"/>
          </w:tcPr>
          <w:p>
            <w:pPr>
              <w:jc w:val="cente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供应商业绩</w:t>
            </w:r>
            <w:r/>
          </w:p>
          <w:p>
            <w:pPr>
              <w:jc w:val="cente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（4分）</w:t>
            </w:r>
            <w:r/>
          </w:p>
        </w:tc>
        <w:tc>
          <w:tcPr>
            <w:tcBorders>
              <w:bottom w:val="single" w:color="auto" w:sz="4" w:space="0"/>
            </w:tcBorders>
            <w:tcW w:w="7730" w:type="dxa"/>
            <w:vAlign w:val="center"/>
            <w:textDirection w:val="lrTb"/>
            <w:noWrap w:val="false"/>
          </w:tcPr>
          <w:p>
            <w:pP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供应商自202</w:t>
            </w:r>
            <w:r>
              <w:rPr>
                <w:rFonts w:hint="eastAsia" w:ascii="黑体" w:hAnsi="黑体" w:eastAsia="黑体" w:cs="黑体"/>
                <w:color w:val="auto"/>
                <w:szCs w:val="21"/>
                <w:highlight w:val="none"/>
                <w:lang w:val="en-US" w:eastAsia="zh-CN"/>
              </w:rPr>
              <w:t xml:space="preserve">3</w:t>
            </w:r>
            <w:r>
              <w:rPr>
                <w:rFonts w:hint="eastAsia" w:ascii="黑体" w:hAnsi="黑体" w:eastAsia="黑体" w:cs="黑体"/>
                <w:color w:val="auto"/>
                <w:szCs w:val="21"/>
                <w:highlight w:val="none"/>
              </w:rPr>
              <w:t xml:space="preserve">年</w:t>
            </w:r>
            <w:r>
              <w:rPr>
                <w:rFonts w:hint="eastAsia" w:ascii="黑体" w:hAnsi="黑体" w:eastAsia="黑体" w:cs="黑体"/>
                <w:color w:val="auto"/>
                <w:szCs w:val="21"/>
                <w:highlight w:val="none"/>
                <w:lang w:val="en-US" w:eastAsia="zh-CN"/>
              </w:rPr>
              <w:t xml:space="preserve">5</w:t>
            </w:r>
            <w:r>
              <w:rPr>
                <w:rFonts w:hint="eastAsia" w:ascii="黑体" w:hAnsi="黑体" w:eastAsia="黑体" w:cs="黑体"/>
                <w:color w:val="auto"/>
                <w:szCs w:val="21"/>
                <w:highlight w:val="none"/>
              </w:rPr>
              <w:t xml:space="preserve">月1日</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lang w:val="en-US" w:eastAsia="zh-CN"/>
              </w:rPr>
              <w:t xml:space="preserve">含）</w:t>
            </w:r>
            <w:r>
              <w:rPr>
                <w:rFonts w:hint="eastAsia" w:ascii="黑体" w:hAnsi="黑体" w:eastAsia="黑体" w:cs="黑体"/>
                <w:color w:val="auto"/>
                <w:szCs w:val="21"/>
                <w:highlight w:val="none"/>
              </w:rPr>
              <w:t xml:space="preserve">以来，独立承担过类似工程（类似工程指市政道路工程），以中标通知书、施工合同及竣工验收证明为准（直接发包项目以施工合同、竣工验收证明为准），以上必须同时具备；每提供一份业绩得2分，最高得4分。</w:t>
            </w:r>
            <w:r/>
          </w:p>
          <w:p>
            <w:pPr>
              <w:spacing w:line="360" w:lineRule="auto"/>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注：</w:t>
            </w:r>
            <w:r/>
          </w:p>
          <w:p>
            <w:pPr>
              <w:spacing w:line="360" w:lineRule="auto"/>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1、施工合同、中标通知书和竣工验收报告中不能体现市政道路工程的，自行提供相关证明资料。</w:t>
            </w:r>
            <w:r/>
          </w:p>
          <w:p>
            <w:pPr>
              <w:spacing w:line="360" w:lineRule="auto"/>
              <w:widowControl/>
              <w:rPr>
                <w:rFonts w:hint="eastAsia" w:ascii="黑体" w:hAnsi="黑体" w:eastAsia="黑体" w:cs="黑体"/>
                <w:color w:val="auto"/>
                <w:szCs w:val="21"/>
                <w:highlight w:val="none"/>
              </w:rPr>
            </w:pPr>
            <w:r>
              <w:rPr>
                <w:rFonts w:hint="eastAsia" w:ascii="黑体" w:hAnsi="黑体" w:eastAsia="黑体" w:cs="黑体"/>
                <w:b/>
                <w:bCs/>
                <w:color w:val="auto"/>
                <w:szCs w:val="21"/>
                <w:highlight w:val="none"/>
              </w:rPr>
              <w:t xml:space="preserve">2、时间以竣工验收时间为准，响应文件中提供业绩证明材料原件扫描件。</w:t>
            </w:r>
            <w:r/>
          </w:p>
        </w:tc>
      </w:tr>
      <w:tr>
        <w:trPr>
          <w:cantSplit/>
          <w:jc w:val="center"/>
          <w:trHeight w:val="879"/>
        </w:trPr>
        <w:tc>
          <w:tcPr>
            <w:tcW w:w="1555" w:type="dxa"/>
            <w:vAlign w:val="center"/>
            <w:vMerge w:val="continue"/>
            <w:textDirection w:val="lrTb"/>
            <w:noWrap w:val="false"/>
          </w:tcPr>
          <w:p>
            <w:pPr>
              <w:jc w:val="cente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4" w:space="0"/>
            </w:tcBorders>
            <w:tcW w:w="1114" w:type="dxa"/>
            <w:vAlign w:val="center"/>
            <w:textDirection w:val="lrTb"/>
            <w:noWrap w:val="false"/>
          </w:tcPr>
          <w:p>
            <w:pPr>
              <w:jc w:val="center"/>
              <w:spacing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企业资信</w:t>
            </w:r>
            <w:r/>
          </w:p>
          <w:p>
            <w:pPr>
              <w:jc w:val="center"/>
              <w:spacing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（3分）</w:t>
            </w:r>
            <w:r/>
          </w:p>
        </w:tc>
        <w:tc>
          <w:tcPr>
            <w:tcBorders>
              <w:top w:val="single" w:color="auto" w:sz="4" w:space="0"/>
            </w:tcBorders>
            <w:tcW w:w="7730" w:type="dxa"/>
            <w:vAlign w:val="center"/>
            <w:textDirection w:val="lrTb"/>
            <w:noWrap w:val="false"/>
          </w:tcPr>
          <w:p>
            <w:pP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供应商具有有效的质量管理体系认证、环境管理体系认证、职业健康安全管理体系认证证书，每有一项得1分，最高得3分。</w:t>
            </w:r>
            <w:r/>
          </w:p>
          <w:p>
            <w:pPr>
              <w:spacing w:line="360" w:lineRule="auto"/>
              <w:widowControl/>
              <w:rPr>
                <w:rFonts w:hint="eastAsia" w:ascii="黑体" w:hAnsi="黑体" w:eastAsia="黑体" w:cs="黑体"/>
                <w:color w:val="auto"/>
                <w:szCs w:val="21"/>
                <w:highlight w:val="none"/>
              </w:rPr>
            </w:pPr>
            <w:r>
              <w:rPr>
                <w:rFonts w:hint="eastAsia" w:ascii="黑体" w:hAnsi="黑体" w:eastAsia="黑体" w:cs="黑体"/>
                <w:b/>
                <w:bCs/>
                <w:color w:val="auto"/>
                <w:szCs w:val="21"/>
                <w:highlight w:val="none"/>
              </w:rPr>
              <w:t xml:space="preserve">注：响应文件中提供</w:t>
            </w:r>
            <w:r>
              <w:rPr>
                <w:rFonts w:hint="eastAsia" w:ascii="黑体" w:hAnsi="黑体" w:eastAsia="黑体" w:cs="黑体"/>
                <w:b/>
                <w:bCs/>
                <w:color w:val="auto"/>
                <w:szCs w:val="21"/>
                <w:highlight w:val="none"/>
                <w:lang w:val="en-US" w:eastAsia="zh-CN"/>
              </w:rPr>
              <w:t xml:space="preserve">以上证书</w:t>
            </w:r>
            <w:r>
              <w:rPr>
                <w:rFonts w:hint="eastAsia" w:ascii="黑体" w:hAnsi="黑体" w:eastAsia="黑体" w:cs="黑体"/>
                <w:b/>
                <w:bCs/>
                <w:color w:val="auto"/>
                <w:szCs w:val="21"/>
                <w:highlight w:val="none"/>
              </w:rPr>
              <w:t xml:space="preserve">原件扫描件</w:t>
            </w:r>
            <w:r>
              <w:rPr>
                <w:rFonts w:hint="eastAsia" w:ascii="黑体" w:hAnsi="黑体" w:eastAsia="黑体" w:cs="黑体"/>
                <w:b/>
                <w:bCs/>
                <w:color w:val="auto"/>
                <w:szCs w:val="21"/>
                <w:highlight w:val="none"/>
                <w:lang w:eastAsia="zh-CN"/>
              </w:rPr>
              <w:t xml:space="preserve">，</w:t>
            </w:r>
            <w:r>
              <w:rPr>
                <w:rFonts w:hint="eastAsia" w:ascii="黑体" w:hAnsi="黑体" w:eastAsia="黑体" w:cs="黑体"/>
                <w:b/>
                <w:bCs/>
                <w:color w:val="auto"/>
                <w:szCs w:val="21"/>
                <w:highlight w:val="none"/>
                <w:lang w:val="en-US" w:eastAsia="zh-CN"/>
              </w:rPr>
              <w:t xml:space="preserve">否则不得分</w:t>
            </w:r>
            <w:r>
              <w:rPr>
                <w:rFonts w:hint="eastAsia" w:ascii="黑体" w:hAnsi="黑体" w:eastAsia="黑体" w:cs="黑体"/>
                <w:b/>
                <w:bCs/>
                <w:color w:val="auto"/>
                <w:szCs w:val="21"/>
                <w:highlight w:val="none"/>
              </w:rPr>
              <w:t xml:space="preserve">。</w:t>
            </w:r>
            <w:r/>
          </w:p>
        </w:tc>
      </w:tr>
    </w:tbl>
    <w:p>
      <w:pPr>
        <w:jc w:val="both"/>
        <w:spacing w:after="0" w:line="360" w:lineRule="auto"/>
        <w:widowControl w:val="off"/>
        <w:rPr>
          <w:rFonts w:hint="eastAsia" w:ascii="黑体" w:hAnsi="黑体" w:eastAsia="黑体" w:cs="黑体"/>
          <w:color w:val="auto"/>
          <w:sz w:val="21"/>
          <w:szCs w:val="24"/>
          <w:highlight w:val="none"/>
          <w:lang w:val="en-US" w:eastAsia="zh-CN" w:bidi="ar-SA"/>
        </w:rPr>
      </w:pPr>
      <w:r>
        <w:rPr>
          <w:rFonts w:hint="eastAsia" w:ascii="黑体" w:hAnsi="黑体" w:eastAsia="黑体" w:cs="黑体"/>
          <w:color w:val="auto"/>
          <w:sz w:val="21"/>
          <w:szCs w:val="24"/>
          <w:highlight w:val="none"/>
          <w:lang w:val="en-US" w:eastAsia="zh-CN" w:bidi="ar-SA"/>
        </w:rPr>
      </w:r>
      <w:r/>
    </w:p>
    <w:p>
      <w:pPr>
        <w:jc w:val="both"/>
        <w:spacing w:after="0"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说明：本项目采用综合评分法。（供应商技术部分得分取所有评委的平均值，保留小数点后二位）。</w:t>
      </w:r>
      <w:r/>
    </w:p>
    <w:p>
      <w:pPr>
        <w:spacing w:line="360" w:lineRule="auto"/>
        <w:widowControl/>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br w:type="page" w:clear="all"/>
      </w:r>
      <w:r/>
    </w:p>
    <w:p>
      <w:pPr>
        <w:jc w:val="center"/>
        <w:keepLines w:val="0"/>
        <w:keepNext w:val="0"/>
        <w:spacing w:before="0" w:after="0" w:line="360" w:lineRule="auto"/>
        <w:widowControl w:val="off"/>
        <w:rPr>
          <w:rFonts w:hint="eastAsia" w:ascii="黑体" w:hAnsi="黑体" w:eastAsia="黑体" w:cs="黑体"/>
          <w:b/>
          <w:bCs/>
          <w:color w:val="auto"/>
          <w:sz w:val="28"/>
          <w:szCs w:val="44"/>
          <w:highlight w:val="none"/>
          <w:lang w:val="en-US" w:eastAsia="zh-CN" w:bidi="ar-SA"/>
        </w:rPr>
        <w:outlineLvl w:val="0"/>
      </w:pPr>
      <w:r/>
      <w:bookmarkStart w:id="28" w:name="_Toc32561"/>
      <w:r/>
      <w:bookmarkStart w:id="29" w:name="_Toc13974"/>
      <w:r>
        <w:rPr>
          <w:rFonts w:hint="eastAsia" w:ascii="黑体" w:hAnsi="黑体" w:eastAsia="黑体" w:cs="黑体"/>
          <w:b/>
          <w:bCs/>
          <w:color w:val="auto"/>
          <w:sz w:val="28"/>
          <w:szCs w:val="21"/>
          <w:highlight w:val="none"/>
          <w:lang w:val="en-US" w:eastAsia="zh-CN" w:bidi="ar-SA"/>
        </w:rPr>
        <w:t xml:space="preserve">第八章 项目要求（采购需求）</w:t>
      </w:r>
      <w:bookmarkEnd w:id="27"/>
      <w:r/>
      <w:bookmarkEnd w:id="28"/>
      <w:r/>
      <w:bookmarkEnd w:id="29"/>
      <w:r/>
      <w:r/>
    </w:p>
    <w:p>
      <w:pPr>
        <w:jc w:val="both"/>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p>
      <w:pPr>
        <w:jc w:val="both"/>
        <w:spacing w:line="360" w:lineRule="auto"/>
        <w:widowControl w:val="off"/>
        <w:rPr>
          <w:rFonts w:hint="eastAsia" w:ascii="黑体" w:hAnsi="黑体" w:eastAsia="黑体" w:cs="黑体"/>
          <w:b/>
          <w:bCs/>
          <w:color w:val="auto"/>
          <w:sz w:val="21"/>
          <w:szCs w:val="21"/>
          <w:highlight w:val="none"/>
          <w:lang w:val="en-US" w:eastAsia="zh-CN" w:bidi="ar-SA"/>
        </w:rPr>
      </w:pPr>
      <w:r/>
      <w:bookmarkStart w:id="30" w:name="_Toc80122298"/>
      <w:r>
        <w:rPr>
          <w:rFonts w:hint="eastAsia" w:ascii="黑体" w:hAnsi="黑体" w:eastAsia="黑体" w:cs="黑体"/>
          <w:b/>
          <w:color w:val="auto"/>
          <w:sz w:val="21"/>
          <w:szCs w:val="21"/>
          <w:highlight w:val="none"/>
          <w:lang w:val="en-US" w:eastAsia="zh-CN" w:bidi="ar-SA"/>
        </w:rPr>
        <w:t xml:space="preserve">一、采购预算 </w:t>
      </w:r>
      <w:r/>
    </w:p>
    <w:p>
      <w:pPr>
        <w:ind w:firstLine="420"/>
        <w:jc w:val="left"/>
        <w:spacing w:line="360" w:lineRule="auto"/>
        <w:widowControl w:val="off"/>
        <w:rPr>
          <w:rFonts w:hint="eastAsia" w:ascii="黑体" w:hAnsi="黑体" w:eastAsia="黑体" w:cs="黑体"/>
          <w:b/>
          <w:bCs/>
          <w:color w:val="auto"/>
          <w:sz w:val="21"/>
          <w:szCs w:val="21"/>
          <w:highlight w:val="none"/>
          <w:lang w:val="en-US" w:eastAsia="zh-CN" w:bidi="ar-SA"/>
        </w:rPr>
      </w:pPr>
      <w:r>
        <w:rPr>
          <w:rFonts w:hint="eastAsia" w:ascii="黑体" w:hAnsi="黑体" w:eastAsia="黑体" w:cs="黑体"/>
          <w:b/>
          <w:bCs/>
          <w:color w:val="auto"/>
          <w:sz w:val="21"/>
          <w:szCs w:val="21"/>
          <w:highlight w:val="none"/>
          <w:lang w:val="en-US" w:eastAsia="zh-CN" w:bidi="ar-SA"/>
        </w:rPr>
        <w:t xml:space="preserve">1、本项目采购预算为360万元，其中采购包1：90万元，采购包2：90万元，采购包3：90万元，采购包4:50万元，采购包5：40万元。</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本项目报价方式采用优惠率报价。本项目事先不能计算出价格总额，该项目采购包预算金额不作为报价依据。</w:t>
      </w:r>
      <w:r/>
    </w:p>
    <w:p>
      <w:pPr>
        <w:ind w:firstLine="420"/>
        <w:jc w:val="both"/>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2、本项目工程量清单控制单价为全费用综合单价，包含项目完成的所有费用，供应商报价时需考虑完成本项目内容所涉及的包含并不限于作业成本费（人工费、材料费、机械费、养护工具设备配置、车辆等）、应急保障费、检测、验收、质量保修、保险、培训、税费、合理利润等供应商认为可能发生的相关一切费用。供应商有漏报或不报的，采购人将视为有关费用已包括在本项目的报价中而不予支付，采购人不支付报价以外的任何费用。</w:t>
      </w:r>
      <w:r/>
    </w:p>
    <w:p>
      <w:pPr>
        <w:jc w:val="both"/>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3、本工程采用优惠率合同，竣工结算时，结算单价按采购控制单价</w:t>
      </w:r>
      <w:r>
        <w:rPr>
          <w:rFonts w:hint="eastAsia" w:ascii="黑体" w:hAnsi="黑体" w:eastAsia="黑体" w:cs="黑体"/>
          <w:color w:val="auto"/>
          <w:sz w:val="21"/>
          <w:szCs w:val="21"/>
          <w:highlight w:val="none"/>
          <w:lang w:val="zh-TW" w:eastAsia="zh-CN" w:bidi="ar-SA"/>
        </w:rPr>
        <w:t xml:space="preserve">×（1-中标优惠率）×</w:t>
      </w:r>
      <w:r>
        <w:rPr>
          <w:rFonts w:hint="eastAsia" w:ascii="黑体" w:hAnsi="黑体" w:eastAsia="黑体" w:cs="黑体"/>
          <w:color w:val="auto"/>
          <w:sz w:val="21"/>
          <w:szCs w:val="21"/>
          <w:highlight w:val="none"/>
          <w:lang w:val="en-US" w:eastAsia="zh-CN" w:bidi="ar-SA"/>
        </w:rPr>
        <w:t xml:space="preserve">考核得分百分率，工程量按实际发生量计算。</w:t>
      </w:r>
      <w:r/>
    </w:p>
    <w:p>
      <w:pPr>
        <w:jc w:val="both"/>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b/>
          <w:color w:val="auto"/>
          <w:sz w:val="21"/>
          <w:szCs w:val="21"/>
          <w:highlight w:val="none"/>
          <w:lang w:val="en-US" w:eastAsia="zh-CN" w:bidi="ar-SA"/>
        </w:rPr>
        <w:t xml:space="preserve">二、项目概况</w:t>
      </w:r>
      <w:r/>
    </w:p>
    <w:p>
      <w:pPr>
        <w:ind w:firstLine="420"/>
        <w:jc w:val="both"/>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1、项目名称：2026年度市管道路零星沟槽修复工程</w:t>
      </w:r>
      <w:r/>
    </w:p>
    <w:p>
      <w:pPr>
        <w:ind w:firstLine="420"/>
        <w:jc w:val="both"/>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2、项目地点：位于徐州市主城区境内。</w:t>
      </w:r>
      <w:r/>
    </w:p>
    <w:p>
      <w:pPr>
        <w:ind w:firstLine="420"/>
        <w:jc w:val="both"/>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3、服务期限：壹年。</w:t>
      </w:r>
      <w:r/>
    </w:p>
    <w:p>
      <w:pPr>
        <w:ind w:firstLine="420"/>
        <w:jc w:val="both"/>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4、本项目主要内容：</w:t>
      </w:r>
      <w:bookmarkStart w:id="31" w:name="OLE_LINK8"/>
      <w:r/>
      <w:bookmarkStart w:id="32" w:name="OLE_LINK7"/>
      <w:r>
        <w:rPr>
          <w:rFonts w:hint="eastAsia" w:ascii="黑体" w:hAnsi="黑体" w:eastAsia="黑体" w:cs="黑体"/>
          <w:color w:val="auto"/>
          <w:sz w:val="21"/>
          <w:szCs w:val="21"/>
          <w:highlight w:val="none"/>
          <w:lang w:val="en-US" w:eastAsia="zh-CN" w:bidi="ar-SA"/>
        </w:rPr>
        <w:t xml:space="preserve">2026年市管道路零星沟槽修复工程，包含对市管道路零星沟槽进行修复等，共分5个采购包实施，其中：</w:t>
      </w:r>
      <w:r/>
    </w:p>
    <w:p>
      <w:pPr>
        <w:jc w:val="both"/>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采购包1：2026年市管道路零星沟槽修复工程一标段（云龙区），施工区域为云龙区，预算金额90万元；</w:t>
      </w:r>
      <w:r/>
    </w:p>
    <w:p>
      <w:pPr>
        <w:jc w:val="both"/>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采购包2：2026年市管道路零星沟槽修复工程二标段（鼓楼区），施工区域为鼓楼区，预算金额90万元；</w:t>
      </w:r>
      <w:r/>
    </w:p>
    <w:p>
      <w:pPr>
        <w:jc w:val="both"/>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采购包3：2026年市管道路零星沟槽修复工程三标段（泉山区），施工区域为泉山区，预算金额90万元；</w:t>
      </w:r>
      <w:r/>
    </w:p>
    <w:p>
      <w:pPr>
        <w:jc w:val="both"/>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采购包4：2026年市管道路零星沟槽修复工程四标段（新城区），施工区域为新城区，预算金额50万元；</w:t>
      </w:r>
      <w:r/>
    </w:p>
    <w:p>
      <w:pPr>
        <w:jc w:val="both"/>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采购包5：2026年市管道路零星沟槽修复工程五标段（九里区），施工区域为九里区，预算金额40万元。</w:t>
      </w:r>
      <w:bookmarkEnd w:id="31"/>
      <w:r/>
      <w:bookmarkEnd w:id="32"/>
      <w:r/>
      <w:r/>
    </w:p>
    <w:p>
      <w:pPr>
        <w:ind w:firstLine="420"/>
        <w:jc w:val="both"/>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特别注意事项：</w:t>
      </w:r>
      <w:r/>
    </w:p>
    <w:p>
      <w:pPr>
        <w:ind w:firstLine="420"/>
        <w:jc w:val="both"/>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①每个供应商可以对本项目5个采购包提交响应文件及参与评审，但每个供应商只能获得一个采购包的成交资格。如果供应商同时在两个及以上采购包中均排名第一，则确定其为前一个采购包成交人，在其他采购包中不再推荐其为成交人。评审顺序为采购包1至采购包5依次评审。</w:t>
      </w:r>
      <w:r/>
    </w:p>
    <w:p>
      <w:pPr>
        <w:ind w:firstLine="420"/>
        <w:jc w:val="both"/>
        <w:spacing w:line="360" w:lineRule="auto"/>
        <w:widowControl w:val="off"/>
        <w:rPr>
          <w:rFonts w:hint="eastAsia" w:ascii="黑体" w:hAnsi="黑体" w:eastAsia="黑体" w:cs="黑体"/>
          <w:color w:val="auto"/>
          <w:sz w:val="21"/>
          <w:szCs w:val="21"/>
          <w:highlight w:val="none"/>
          <w:lang w:val="en-US" w:eastAsia="zh-CN" w:bidi="ar-SA"/>
        </w:rPr>
      </w:pPr>
      <w:r/>
      <w:bookmarkStart w:id="33" w:name="_Hlk105172344"/>
      <w:r>
        <w:rPr>
          <w:rFonts w:hint="eastAsia" w:ascii="黑体" w:hAnsi="黑体" w:eastAsia="黑体" w:cs="黑体"/>
          <w:color w:val="auto"/>
          <w:sz w:val="21"/>
          <w:szCs w:val="21"/>
          <w:highlight w:val="none"/>
          <w:lang w:val="en-US" w:eastAsia="zh-CN" w:bidi="ar-SA"/>
        </w:rPr>
        <w:t xml:space="preserve">②所有标段中的</w:t>
      </w:r>
      <w:bookmarkStart w:id="34" w:name="OLE_LINK3"/>
      <w:r>
        <w:rPr>
          <w:rFonts w:hint="eastAsia" w:ascii="黑体" w:hAnsi="黑体" w:eastAsia="黑体" w:cs="黑体"/>
          <w:color w:val="auto"/>
          <w:sz w:val="21"/>
          <w:szCs w:val="21"/>
          <w:highlight w:val="none"/>
          <w:lang w:val="en-US" w:eastAsia="zh-CN" w:bidi="ar-SA"/>
        </w:rPr>
        <w:t xml:space="preserve">零星沟槽修复</w:t>
      </w:r>
      <w:bookmarkEnd w:id="34"/>
      <w:r>
        <w:rPr>
          <w:rFonts w:hint="eastAsia" w:ascii="黑体" w:hAnsi="黑体" w:eastAsia="黑体" w:cs="黑体"/>
          <w:color w:val="auto"/>
          <w:sz w:val="21"/>
          <w:szCs w:val="21"/>
          <w:highlight w:val="none"/>
          <w:lang w:val="en-US" w:eastAsia="zh-CN" w:bidi="ar-SA"/>
        </w:rPr>
        <w:t xml:space="preserve">工程不包含在建道路，以及还在保修期内的道路的沟槽修复。另所有标段中的零星沟槽修复施工均包含突发应急除险项目施工。</w:t>
      </w:r>
      <w:r/>
    </w:p>
    <w:p>
      <w:pPr>
        <w:ind w:firstLine="420"/>
        <w:jc w:val="both"/>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③成交供应商需无条件服从采购人分配的零星</w:t>
      </w:r>
      <w:bookmarkStart w:id="35" w:name="OLE_LINK4"/>
      <w:r>
        <w:rPr>
          <w:rFonts w:hint="eastAsia" w:ascii="黑体" w:hAnsi="黑体" w:eastAsia="黑体" w:cs="黑体"/>
          <w:color w:val="auto"/>
          <w:sz w:val="21"/>
          <w:szCs w:val="21"/>
          <w:highlight w:val="none"/>
          <w:lang w:val="en-US" w:eastAsia="zh-CN" w:bidi="ar-SA"/>
        </w:rPr>
        <w:t xml:space="preserve">沟槽修复</w:t>
      </w:r>
      <w:bookmarkEnd w:id="35"/>
      <w:r>
        <w:rPr>
          <w:rFonts w:hint="eastAsia" w:ascii="黑体" w:hAnsi="黑体" w:eastAsia="黑体" w:cs="黑体"/>
          <w:color w:val="auto"/>
          <w:sz w:val="21"/>
          <w:szCs w:val="21"/>
          <w:highlight w:val="none"/>
          <w:lang w:val="en-US" w:eastAsia="zh-CN" w:bidi="ar-SA"/>
        </w:rPr>
        <w:t xml:space="preserve">内容。</w:t>
      </w:r>
      <w:r/>
    </w:p>
    <w:p>
      <w:pPr>
        <w:ind w:firstLine="420"/>
        <w:jc w:val="both"/>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5、承包方式：以包工包料的方式实施沟槽修复总承包，不得分包与转包。</w:t>
      </w:r>
      <w:r/>
    </w:p>
    <w:p>
      <w:pPr>
        <w:ind w:firstLine="420"/>
        <w:jc w:val="both"/>
        <w:spacing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6、工程质量：合格，并保证相关部门验收通过；未达到质量要求的，成交供应商负责无条件返工，直至达到要求，所发生的费用由成交供应商承担，成交供应商还应赔偿因此给采购人造成的损失，工期不予顺延，同时采购人有权对成交供应商进行违约处罚。</w:t>
      </w:r>
      <w:bookmarkEnd w:id="33"/>
      <w:r/>
      <w:r/>
    </w:p>
    <w:p>
      <w:pPr>
        <w:jc w:val="both"/>
        <w:spacing w:line="360" w:lineRule="auto"/>
        <w:widowControl w:val="off"/>
        <w:rPr>
          <w:rFonts w:hint="eastAsia" w:ascii="黑体" w:hAnsi="黑体" w:eastAsia="黑体" w:cs="黑体"/>
          <w:b/>
          <w:bCs/>
          <w:color w:val="auto"/>
          <w:sz w:val="21"/>
          <w:szCs w:val="21"/>
          <w:highlight w:val="none"/>
          <w:lang w:val="en-US" w:eastAsia="zh-CN" w:bidi="ar-SA"/>
        </w:rPr>
      </w:pPr>
      <w:r>
        <w:rPr>
          <w:rFonts w:hint="eastAsia" w:ascii="黑体" w:hAnsi="黑体" w:eastAsia="黑体" w:cs="黑体"/>
          <w:b/>
          <w:bCs/>
          <w:color w:val="auto"/>
          <w:sz w:val="21"/>
          <w:szCs w:val="21"/>
          <w:highlight w:val="none"/>
          <w:lang w:val="en-US" w:eastAsia="zh-CN" w:bidi="ar-SA"/>
        </w:rPr>
        <w:t xml:space="preserve">三、现场踏勘</w:t>
      </w:r>
      <w:r/>
    </w:p>
    <w:p>
      <w:pPr>
        <w:ind w:firstLine="420"/>
        <w:jc w:val="both"/>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1、建议供应商进行规场查勘，以获取编制响应文件所需的现场信息资料，对代理机构提供的工程量清单进行核对，对工程量清单有疑问的，应在采购文件规定的签疑时间内提出，规定时间内未提出异议的，默认供应商对工程量清单无异议，供应商中标后不得以任何理由变更清单内容或不履行合同，否则将按违约处理。</w:t>
      </w:r>
      <w:r/>
    </w:p>
    <w:p>
      <w:pPr>
        <w:ind w:firstLine="420"/>
        <w:jc w:val="both"/>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2、供应商自行查勘，应承担现场踏勘的责任和风险，勘察现场所发生的风险及费用由供应商自行承担。</w:t>
      </w:r>
      <w:r/>
    </w:p>
    <w:p>
      <w:pPr>
        <w:ind w:firstLine="420"/>
        <w:jc w:val="both"/>
        <w:spacing w:line="360" w:lineRule="auto"/>
        <w:widowControl w:val="off"/>
        <w:rPr>
          <w:rFonts w:hint="eastAsia" w:ascii="黑体" w:hAnsi="黑体" w:eastAsia="黑体" w:cs="黑体"/>
          <w:b/>
          <w:bCs/>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3、现场自然及施工条件：供应商应对项目现场和周围环境进行实地踏勘，以了解现场的施工环境、施工范围、技术要求及相关服务，获取有关编制响应文件和签订合同所需的各项资料，成交后不得以未踏勘现场或不了解现场为由提出任何增加费用的要求。</w:t>
      </w:r>
      <w:r/>
    </w:p>
    <w:p>
      <w:pPr>
        <w:ind w:firstLine="420"/>
        <w:jc w:val="both"/>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4、由于现场踏勘没有进行或者不详细所导致的一切问题均由供应商自行负责。</w:t>
      </w:r>
      <w:r/>
    </w:p>
    <w:p>
      <w:pPr>
        <w:ind w:firstLine="420"/>
        <w:jc w:val="both"/>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5、供应商对本磋商文件所作出的理解、推论和解释由其自己负责。</w:t>
      </w:r>
      <w:r/>
    </w:p>
    <w:p>
      <w:pPr>
        <w:jc w:val="both"/>
        <w:spacing w:line="360" w:lineRule="auto"/>
        <w:widowControl w:val="off"/>
        <w:rPr>
          <w:rFonts w:hint="eastAsia" w:ascii="黑体" w:hAnsi="黑体" w:eastAsia="黑体" w:cs="黑体"/>
          <w:b/>
          <w:color w:val="auto"/>
          <w:sz w:val="21"/>
          <w:szCs w:val="21"/>
          <w:highlight w:val="none"/>
          <w:lang w:val="en-US" w:eastAsia="zh-CN" w:bidi="ar-SA"/>
        </w:rPr>
      </w:pPr>
      <w:r>
        <w:rPr>
          <w:rFonts w:hint="eastAsia" w:ascii="黑体" w:hAnsi="黑体" w:eastAsia="黑体" w:cs="黑体"/>
          <w:b/>
          <w:color w:val="auto"/>
          <w:sz w:val="21"/>
          <w:szCs w:val="21"/>
          <w:highlight w:val="none"/>
          <w:lang w:val="en-US" w:eastAsia="zh-CN" w:bidi="ar-SA"/>
        </w:rPr>
        <w:t xml:space="preserve">四、</w:t>
      </w:r>
      <w:bookmarkEnd w:id="30"/>
      <w:r>
        <w:rPr>
          <w:rFonts w:hint="eastAsia" w:ascii="黑体" w:hAnsi="黑体" w:eastAsia="黑体" w:cs="黑体"/>
          <w:b/>
          <w:color w:val="auto"/>
          <w:sz w:val="21"/>
          <w:szCs w:val="21"/>
          <w:highlight w:val="none"/>
          <w:lang w:val="en-US" w:eastAsia="zh-CN" w:bidi="ar-SA"/>
        </w:rPr>
        <w:t xml:space="preserve">本工程采用的技术规范：</w:t>
      </w:r>
      <w:r>
        <w:rPr>
          <w:rFonts w:hint="eastAsia" w:ascii="黑体" w:hAnsi="黑体" w:eastAsia="黑体" w:cs="黑体"/>
          <w:bCs/>
          <w:color w:val="auto"/>
          <w:sz w:val="21"/>
          <w:szCs w:val="21"/>
          <w:highlight w:val="none"/>
          <w:lang w:val="en-US" w:eastAsia="zh-CN" w:bidi="ar-SA"/>
        </w:rPr>
        <w:t xml:space="preserve">执行国家、江苏省及徐州市颁发的现行行业最新规范、相关标准及相关文件。</w:t>
      </w:r>
      <w:r/>
    </w:p>
    <w:p>
      <w:pPr>
        <w:jc w:val="both"/>
        <w:spacing w:line="360" w:lineRule="auto"/>
        <w:widowControl w:val="off"/>
        <w:rPr>
          <w:rFonts w:hint="eastAsia" w:ascii="黑体" w:hAnsi="黑体" w:eastAsia="黑体" w:cs="黑体"/>
          <w:b/>
          <w:color w:val="auto"/>
          <w:sz w:val="21"/>
          <w:szCs w:val="21"/>
          <w:highlight w:val="none"/>
          <w:lang w:val="en-US" w:eastAsia="zh-CN" w:bidi="ar-SA"/>
        </w:rPr>
      </w:pPr>
      <w:r>
        <w:rPr>
          <w:rFonts w:hint="eastAsia" w:ascii="黑体" w:hAnsi="黑体" w:eastAsia="黑体" w:cs="黑体"/>
          <w:b/>
          <w:color w:val="auto"/>
          <w:sz w:val="21"/>
          <w:szCs w:val="21"/>
          <w:highlight w:val="none"/>
          <w:lang w:val="en-US" w:eastAsia="zh-CN" w:bidi="ar-SA"/>
        </w:rPr>
        <w:t xml:space="preserve">五、工程量清单</w:t>
      </w:r>
      <w:r/>
    </w:p>
    <w:p>
      <w:pPr>
        <w:jc w:val="center"/>
        <w:spacing w:line="360" w:lineRule="auto"/>
        <w:widowControl/>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Cs w:val="21"/>
          <w:highlight w:val="none"/>
        </w:rPr>
        <w:br w:type="page" w:clear="all"/>
      </w:r>
      <w:r>
        <w:rPr>
          <w:rFonts w:hint="eastAsia" w:ascii="黑体" w:hAnsi="黑体" w:eastAsia="黑体" w:cs="黑体"/>
          <w:color w:val="auto"/>
          <w:sz w:val="21"/>
          <w:szCs w:val="21"/>
          <w:highlight w:val="none"/>
          <w:lang w:val="en-US" w:eastAsia="zh-CN" w:bidi="ar-SA"/>
        </w:rPr>
        <w:t xml:space="preserve">采购包1至采购包5清单控制价</w:t>
      </w:r>
      <w:r/>
    </w:p>
    <w:tbl>
      <w:tblPr>
        <w:tblStyle w:val="1041"/>
        <w:tblW w:w="9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2491"/>
        <w:gridCol w:w="3151"/>
        <w:gridCol w:w="1232"/>
        <w:gridCol w:w="1842"/>
      </w:tblGrid>
      <w:tr>
        <w:trPr>
          <w:jc w:val="center"/>
          <w:trHeight w:val="515"/>
        </w:trPr>
        <w:tc>
          <w:tcPr>
            <w:gridSpan w:val="5"/>
            <w:tcW w:w="9460" w:type="dxa"/>
            <w:vAlign w:val="center"/>
            <w:textDirection w:val="lrTb"/>
            <w:noWrap w:val="false"/>
          </w:tcPr>
          <w:p>
            <w:pPr>
              <w:jc w:val="center"/>
              <w:spacing w:line="360" w:lineRule="auto"/>
              <w:widowControl/>
              <w:rPr>
                <w:rFonts w:hint="eastAsia" w:ascii="黑体" w:hAnsi="黑体" w:eastAsia="黑体" w:cs="黑体"/>
                <w:bCs/>
                <w:color w:val="auto"/>
                <w:szCs w:val="21"/>
                <w:highlight w:val="none"/>
              </w:rPr>
            </w:pPr>
            <w:r/>
            <w:bookmarkStart w:id="36" w:name="OLE_LINK14"/>
            <w:r>
              <w:rPr>
                <w:rFonts w:hint="eastAsia" w:ascii="黑体" w:hAnsi="黑体" w:eastAsia="黑体" w:cs="黑体"/>
                <w:color w:val="auto"/>
                <w:szCs w:val="21"/>
                <w:highlight w:val="none"/>
              </w:rPr>
              <w:t xml:space="preserve">采购包1至采购包5清单控制价</w:t>
            </w:r>
            <w:r/>
          </w:p>
        </w:tc>
      </w:tr>
      <w:tr>
        <w:trPr>
          <w:jc w:val="center"/>
          <w:trHeight w:val="515"/>
        </w:trPr>
        <w:tc>
          <w:tcPr>
            <w:tcW w:w="744"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bCs/>
                <w:color w:val="auto"/>
                <w:szCs w:val="21"/>
                <w:highlight w:val="none"/>
              </w:rPr>
              <w:t xml:space="preserve">序号</w:t>
            </w:r>
            <w:r/>
          </w:p>
        </w:tc>
        <w:tc>
          <w:tcPr>
            <w:tcW w:w="2491"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bCs/>
                <w:color w:val="auto"/>
                <w:szCs w:val="21"/>
                <w:highlight w:val="none"/>
              </w:rPr>
              <w:t xml:space="preserve">项目内容</w:t>
            </w:r>
            <w:r/>
          </w:p>
        </w:tc>
        <w:tc>
          <w:tcPr>
            <w:tcW w:w="3151"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bCs/>
                <w:color w:val="auto"/>
                <w:szCs w:val="21"/>
                <w:highlight w:val="none"/>
              </w:rPr>
              <w:t xml:space="preserve">特征描述</w:t>
            </w:r>
            <w:r/>
          </w:p>
        </w:tc>
        <w:tc>
          <w:tcPr>
            <w:tcW w:w="1232"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bCs/>
                <w:color w:val="auto"/>
                <w:szCs w:val="21"/>
                <w:highlight w:val="none"/>
              </w:rPr>
              <w:t xml:space="preserve">单位</w:t>
            </w:r>
            <w:r/>
          </w:p>
        </w:tc>
        <w:tc>
          <w:tcPr>
            <w:tcW w:w="1842" w:type="dxa"/>
            <w:vAlign w:val="center"/>
            <w:textDirection w:val="lrTb"/>
            <w:noWrap w:val="false"/>
          </w:tcPr>
          <w:p>
            <w:pPr>
              <w:jc w:val="center"/>
              <w:spacing w:line="360" w:lineRule="auto"/>
              <w:widowControl/>
              <w:rPr>
                <w:rFonts w:hint="eastAsia" w:ascii="黑体" w:hAnsi="黑体" w:eastAsia="黑体" w:cs="黑体"/>
                <w:bCs/>
                <w:color w:val="auto"/>
                <w:szCs w:val="21"/>
                <w:highlight w:val="none"/>
                <w:lang w:val="en-US" w:eastAsia="zh-CN"/>
              </w:rPr>
            </w:pPr>
            <w:r>
              <w:rPr>
                <w:rFonts w:hint="eastAsia" w:ascii="黑体" w:hAnsi="黑体" w:eastAsia="黑体" w:cs="黑体"/>
                <w:bCs/>
                <w:color w:val="auto"/>
                <w:szCs w:val="21"/>
                <w:highlight w:val="none"/>
                <w:lang w:val="en-US" w:eastAsia="zh-CN"/>
              </w:rPr>
              <w:t xml:space="preserve">2026市政定额</w:t>
            </w:r>
            <w:r/>
          </w:p>
          <w:p>
            <w:pPr>
              <w:jc w:val="center"/>
              <w:spacing w:line="360" w:lineRule="auto"/>
              <w:widowControl/>
              <w:rPr>
                <w:rFonts w:hint="eastAsia" w:ascii="黑体" w:hAnsi="黑体" w:eastAsia="黑体" w:cs="黑体"/>
                <w:bCs/>
                <w:color w:val="auto"/>
                <w:szCs w:val="21"/>
                <w:highlight w:val="none"/>
              </w:rPr>
            </w:pPr>
            <w:r>
              <w:rPr>
                <w:rFonts w:hint="eastAsia" w:ascii="黑体" w:hAnsi="黑体" w:eastAsia="黑体" w:cs="黑体"/>
                <w:bCs/>
                <w:color w:val="auto"/>
                <w:szCs w:val="21"/>
                <w:highlight w:val="none"/>
                <w:lang w:val="en-US" w:eastAsia="zh-CN"/>
              </w:rPr>
              <w:t xml:space="preserve">控制单价（元）</w:t>
            </w:r>
            <w:r/>
          </w:p>
        </w:tc>
      </w:tr>
      <w:tr>
        <w:trPr>
          <w:jc w:val="center"/>
          <w:trHeight w:val="738"/>
        </w:trPr>
        <w:tc>
          <w:tcPr>
            <w:tcW w:w="744"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bCs/>
                <w:color w:val="auto"/>
                <w:szCs w:val="21"/>
                <w:highlight w:val="none"/>
              </w:rPr>
              <w:t xml:space="preserve">1</w:t>
            </w:r>
            <w:r/>
          </w:p>
        </w:tc>
        <w:tc>
          <w:tcPr>
            <w:tcW w:w="2491"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bCs/>
                <w:color w:val="auto"/>
                <w:szCs w:val="21"/>
                <w:highlight w:val="none"/>
              </w:rPr>
              <w:t xml:space="preserve">沥青混凝土</w:t>
            </w:r>
            <w:r/>
          </w:p>
        </w:tc>
        <w:tc>
          <w:tcPr>
            <w:tcW w:w="3151" w:type="dxa"/>
            <w:vAlign w:val="center"/>
            <w:textDirection w:val="lrTb"/>
            <w:noWrap w:val="false"/>
          </w:tcPr>
          <w:p>
            <w:pPr>
              <w:jc w:val="center"/>
              <w:spacing w:line="360" w:lineRule="auto"/>
              <w:widowControl/>
              <w:rPr>
                <w:rFonts w:hint="eastAsia" w:ascii="黑体" w:hAnsi="黑体" w:eastAsia="黑体" w:cs="黑体"/>
                <w:bCs/>
                <w:color w:val="auto"/>
                <w:szCs w:val="21"/>
                <w:highlight w:val="none"/>
              </w:rPr>
            </w:pPr>
            <w:r>
              <w:rPr>
                <w:rFonts w:hint="eastAsia" w:ascii="黑体" w:hAnsi="黑体" w:eastAsia="黑体" w:cs="黑体"/>
                <w:bCs/>
                <w:color w:val="auto"/>
                <w:szCs w:val="21"/>
                <w:highlight w:val="none"/>
              </w:rPr>
              <w:t xml:space="preserve">4cmAC-13CSBS改性</w:t>
            </w:r>
            <w:r/>
          </w:p>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bCs/>
                <w:color w:val="auto"/>
                <w:szCs w:val="21"/>
                <w:highlight w:val="none"/>
              </w:rPr>
              <w:t xml:space="preserve">沥青混凝土</w:t>
            </w:r>
            <w:r/>
          </w:p>
        </w:tc>
        <w:tc>
          <w:tcPr>
            <w:tcW w:w="1232"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bCs/>
                <w:color w:val="auto"/>
                <w:szCs w:val="21"/>
                <w:highlight w:val="none"/>
              </w:rPr>
              <w:t xml:space="preserve">㎡</w:t>
            </w:r>
            <w:r/>
          </w:p>
        </w:tc>
        <w:tc>
          <w:tcPr>
            <w:tcW w:w="1842" w:type="dxa"/>
            <w:vAlign w:val="center"/>
            <w:textDirection w:val="lrTb"/>
            <w:noWrap w:val="false"/>
          </w:tcPr>
          <w:p>
            <w:pPr>
              <w:jc w:val="center"/>
              <w:keepLines w:val="0"/>
              <w:keepNext w:val="0"/>
              <w:widowControl/>
              <w:rPr>
                <w:rFonts w:hint="eastAsia" w:ascii="黑体" w:hAnsi="黑体" w:eastAsia="黑体" w:cs="黑体"/>
                <w:b/>
                <w:bCs/>
                <w:color w:val="auto"/>
                <w:szCs w:val="21"/>
                <w:highlight w:val="none"/>
                <w:lang w:val="en-US" w:eastAsia="zh-CN"/>
              </w:rPr>
              <w:suppressLineNumbers w:val="0"/>
            </w:pPr>
            <w:r>
              <w:rPr>
                <w:rFonts w:hint="eastAsia" w:ascii="黑体" w:hAnsi="黑体" w:eastAsia="黑体" w:cs="黑体"/>
                <w:i w:val="0"/>
                <w:iCs w:val="0"/>
                <w:color w:val="auto"/>
                <w:sz w:val="20"/>
                <w:szCs w:val="20"/>
                <w:highlight w:val="none"/>
                <w:u w:val="none"/>
                <w:lang w:val="en-US" w:eastAsia="zh-CN" w:bidi="ar"/>
              </w:rPr>
              <w:t xml:space="preserve">80.95</w:t>
            </w:r>
            <w:r/>
          </w:p>
        </w:tc>
      </w:tr>
      <w:tr>
        <w:trPr>
          <w:jc w:val="center"/>
          <w:trHeight w:val="738"/>
        </w:trPr>
        <w:tc>
          <w:tcPr>
            <w:tcW w:w="744"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bCs/>
                <w:color w:val="auto"/>
                <w:szCs w:val="21"/>
                <w:highlight w:val="none"/>
              </w:rPr>
              <w:t xml:space="preserve">2</w:t>
            </w:r>
            <w:r/>
          </w:p>
        </w:tc>
        <w:tc>
          <w:tcPr>
            <w:tcW w:w="2491"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bCs/>
                <w:color w:val="auto"/>
                <w:szCs w:val="21"/>
                <w:highlight w:val="none"/>
              </w:rPr>
              <w:t xml:space="preserve">沥青混凝土</w:t>
            </w:r>
            <w:r/>
          </w:p>
        </w:tc>
        <w:tc>
          <w:tcPr>
            <w:tcW w:w="3151" w:type="dxa"/>
            <w:vAlign w:val="center"/>
            <w:textDirection w:val="lrTb"/>
            <w:noWrap w:val="false"/>
          </w:tcPr>
          <w:p>
            <w:pPr>
              <w:jc w:val="center"/>
              <w:spacing w:line="360" w:lineRule="auto"/>
              <w:widowControl/>
              <w:rPr>
                <w:rFonts w:hint="eastAsia" w:ascii="黑体" w:hAnsi="黑体" w:eastAsia="黑体" w:cs="黑体"/>
                <w:bCs/>
                <w:color w:val="auto"/>
                <w:szCs w:val="21"/>
                <w:highlight w:val="none"/>
              </w:rPr>
            </w:pPr>
            <w:r>
              <w:rPr>
                <w:rFonts w:hint="eastAsia" w:ascii="黑体" w:hAnsi="黑体" w:eastAsia="黑体" w:cs="黑体"/>
                <w:bCs/>
                <w:color w:val="auto"/>
                <w:szCs w:val="21"/>
                <w:highlight w:val="none"/>
              </w:rPr>
              <w:t xml:space="preserve">6cmAC-20C中粒式</w:t>
            </w:r>
            <w:r/>
          </w:p>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bCs/>
                <w:color w:val="auto"/>
                <w:szCs w:val="21"/>
                <w:highlight w:val="none"/>
              </w:rPr>
              <w:t xml:space="preserve">沥青混凝土</w:t>
            </w:r>
            <w:r/>
          </w:p>
        </w:tc>
        <w:tc>
          <w:tcPr>
            <w:tcW w:w="1232"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bCs/>
                <w:color w:val="auto"/>
                <w:szCs w:val="21"/>
                <w:highlight w:val="none"/>
              </w:rPr>
              <w:t xml:space="preserve">㎡</w:t>
            </w:r>
            <w:r/>
          </w:p>
        </w:tc>
        <w:tc>
          <w:tcPr>
            <w:tcW w:w="1842" w:type="dxa"/>
            <w:vAlign w:val="center"/>
            <w:textDirection w:val="lrTb"/>
            <w:noWrap w:val="false"/>
          </w:tcPr>
          <w:p>
            <w:pPr>
              <w:jc w:val="center"/>
              <w:keepLines w:val="0"/>
              <w:keepNext w:val="0"/>
              <w:widowControl/>
              <w:rPr>
                <w:rFonts w:hint="eastAsia" w:ascii="黑体" w:hAnsi="黑体" w:eastAsia="黑体" w:cs="黑体"/>
                <w:b/>
                <w:bCs/>
                <w:color w:val="auto"/>
                <w:szCs w:val="21"/>
                <w:highlight w:val="none"/>
              </w:rPr>
              <w:suppressLineNumbers w:val="0"/>
            </w:pPr>
            <w:r>
              <w:rPr>
                <w:rFonts w:hint="eastAsia" w:ascii="黑体" w:hAnsi="黑体" w:eastAsia="黑体" w:cs="黑体"/>
                <w:i w:val="0"/>
                <w:iCs w:val="0"/>
                <w:color w:val="auto"/>
                <w:sz w:val="20"/>
                <w:szCs w:val="20"/>
                <w:highlight w:val="none"/>
                <w:u w:val="none"/>
                <w:lang w:val="en-US" w:eastAsia="zh-CN" w:bidi="ar"/>
              </w:rPr>
              <w:t xml:space="preserve">82.48</w:t>
            </w:r>
            <w:r/>
          </w:p>
        </w:tc>
      </w:tr>
      <w:tr>
        <w:trPr>
          <w:jc w:val="center"/>
          <w:trHeight w:val="738"/>
        </w:trPr>
        <w:tc>
          <w:tcPr>
            <w:tcW w:w="744"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color w:val="auto"/>
                <w:szCs w:val="21"/>
                <w:highlight w:val="none"/>
              </w:rPr>
              <w:t xml:space="preserve">3</w:t>
            </w:r>
            <w:r/>
          </w:p>
        </w:tc>
        <w:tc>
          <w:tcPr>
            <w:tcW w:w="2491"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bCs/>
                <w:color w:val="auto"/>
                <w:szCs w:val="21"/>
                <w:highlight w:val="none"/>
              </w:rPr>
              <w:t xml:space="preserve">沥青混凝土</w:t>
            </w:r>
            <w:r/>
          </w:p>
        </w:tc>
        <w:tc>
          <w:tcPr>
            <w:tcW w:w="3151" w:type="dxa"/>
            <w:vAlign w:val="center"/>
            <w:textDirection w:val="lrTb"/>
            <w:noWrap w:val="false"/>
          </w:tcPr>
          <w:p>
            <w:pPr>
              <w:jc w:val="center"/>
              <w:spacing w:line="360" w:lineRule="auto"/>
              <w:widowControl/>
              <w:rPr>
                <w:rFonts w:hint="eastAsia" w:ascii="黑体" w:hAnsi="黑体" w:eastAsia="黑体" w:cs="黑体"/>
                <w:bCs/>
                <w:color w:val="auto"/>
                <w:szCs w:val="21"/>
                <w:highlight w:val="none"/>
              </w:rPr>
            </w:pPr>
            <w:r>
              <w:rPr>
                <w:rFonts w:hint="eastAsia" w:ascii="黑体" w:hAnsi="黑体" w:eastAsia="黑体" w:cs="黑体"/>
                <w:bCs/>
                <w:color w:val="auto"/>
                <w:szCs w:val="21"/>
                <w:highlight w:val="none"/>
              </w:rPr>
              <w:t xml:space="preserve">4cmAC-13C细粒式</w:t>
            </w:r>
            <w:r/>
          </w:p>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bCs/>
                <w:color w:val="auto"/>
                <w:szCs w:val="21"/>
                <w:highlight w:val="none"/>
              </w:rPr>
              <w:t xml:space="preserve">沥青混凝土</w:t>
            </w:r>
            <w:r/>
          </w:p>
        </w:tc>
        <w:tc>
          <w:tcPr>
            <w:tcW w:w="1232"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bCs/>
                <w:color w:val="auto"/>
                <w:szCs w:val="21"/>
                <w:highlight w:val="none"/>
              </w:rPr>
              <w:t xml:space="preserve">㎡</w:t>
            </w:r>
            <w:r/>
          </w:p>
        </w:tc>
        <w:tc>
          <w:tcPr>
            <w:tcW w:w="1842" w:type="dxa"/>
            <w:vAlign w:val="center"/>
            <w:textDirection w:val="lrTb"/>
            <w:noWrap w:val="false"/>
          </w:tcPr>
          <w:p>
            <w:pPr>
              <w:jc w:val="center"/>
              <w:keepLines w:val="0"/>
              <w:keepNext w:val="0"/>
              <w:widowControl/>
              <w:rPr>
                <w:rFonts w:hint="eastAsia" w:ascii="黑体" w:hAnsi="黑体" w:eastAsia="黑体" w:cs="黑体"/>
                <w:b/>
                <w:bCs/>
                <w:color w:val="auto"/>
                <w:szCs w:val="21"/>
                <w:highlight w:val="none"/>
              </w:rPr>
              <w:suppressLineNumbers w:val="0"/>
            </w:pPr>
            <w:r>
              <w:rPr>
                <w:rFonts w:hint="eastAsia" w:ascii="黑体" w:hAnsi="黑体" w:eastAsia="黑体" w:cs="黑体"/>
                <w:i w:val="0"/>
                <w:iCs w:val="0"/>
                <w:color w:val="auto"/>
                <w:sz w:val="20"/>
                <w:szCs w:val="20"/>
                <w:highlight w:val="none"/>
                <w:u w:val="none"/>
                <w:lang w:val="en-US" w:eastAsia="zh-CN" w:bidi="ar"/>
              </w:rPr>
              <w:t xml:space="preserve">62.01</w:t>
            </w:r>
            <w:r/>
          </w:p>
        </w:tc>
      </w:tr>
      <w:tr>
        <w:trPr>
          <w:jc w:val="center"/>
          <w:trHeight w:val="738"/>
        </w:trPr>
        <w:tc>
          <w:tcPr>
            <w:tcW w:w="744"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color w:val="auto"/>
                <w:szCs w:val="21"/>
                <w:highlight w:val="none"/>
              </w:rPr>
              <w:t xml:space="preserve">4</w:t>
            </w:r>
            <w:r/>
          </w:p>
        </w:tc>
        <w:tc>
          <w:tcPr>
            <w:tcW w:w="2491"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bCs/>
                <w:color w:val="auto"/>
                <w:szCs w:val="21"/>
                <w:highlight w:val="none"/>
              </w:rPr>
              <w:t xml:space="preserve">沥青混凝土</w:t>
            </w:r>
            <w:r/>
          </w:p>
        </w:tc>
        <w:tc>
          <w:tcPr>
            <w:tcW w:w="3151" w:type="dxa"/>
            <w:vAlign w:val="center"/>
            <w:textDirection w:val="lrTb"/>
            <w:noWrap w:val="false"/>
          </w:tcPr>
          <w:p>
            <w:pPr>
              <w:jc w:val="center"/>
              <w:spacing w:line="360" w:lineRule="auto"/>
              <w:widowControl/>
              <w:rPr>
                <w:rFonts w:hint="eastAsia" w:ascii="黑体" w:hAnsi="黑体" w:eastAsia="黑体" w:cs="黑体"/>
                <w:bCs/>
                <w:color w:val="auto"/>
                <w:szCs w:val="21"/>
                <w:highlight w:val="none"/>
              </w:rPr>
            </w:pPr>
            <w:r>
              <w:rPr>
                <w:rFonts w:hint="eastAsia" w:ascii="黑体" w:hAnsi="黑体" w:eastAsia="黑体" w:cs="黑体"/>
                <w:bCs/>
                <w:color w:val="auto"/>
                <w:szCs w:val="21"/>
                <w:highlight w:val="none"/>
              </w:rPr>
              <w:t xml:space="preserve">4cmSBS13C玄武岩细粒式</w:t>
            </w:r>
            <w:r/>
          </w:p>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bCs/>
                <w:color w:val="auto"/>
                <w:szCs w:val="21"/>
                <w:highlight w:val="none"/>
              </w:rPr>
              <w:t xml:space="preserve">沥青混凝土</w:t>
            </w:r>
            <w:r/>
          </w:p>
        </w:tc>
        <w:tc>
          <w:tcPr>
            <w:tcW w:w="1232"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bCs/>
                <w:color w:val="auto"/>
                <w:szCs w:val="21"/>
                <w:highlight w:val="none"/>
              </w:rPr>
              <w:t xml:space="preserve">㎡</w:t>
            </w:r>
            <w:r/>
          </w:p>
        </w:tc>
        <w:tc>
          <w:tcPr>
            <w:tcW w:w="1842" w:type="dxa"/>
            <w:vAlign w:val="center"/>
            <w:textDirection w:val="lrTb"/>
            <w:noWrap w:val="false"/>
          </w:tcPr>
          <w:p>
            <w:pPr>
              <w:jc w:val="center"/>
              <w:keepLines w:val="0"/>
              <w:keepNext w:val="0"/>
              <w:widowControl/>
              <w:rPr>
                <w:rFonts w:hint="eastAsia" w:ascii="黑体" w:hAnsi="黑体" w:eastAsia="黑体" w:cs="黑体"/>
                <w:b/>
                <w:bCs/>
                <w:color w:val="auto"/>
                <w:szCs w:val="21"/>
                <w:highlight w:val="none"/>
              </w:rPr>
              <w:suppressLineNumbers w:val="0"/>
            </w:pPr>
            <w:r>
              <w:rPr>
                <w:rFonts w:hint="eastAsia" w:ascii="黑体" w:hAnsi="黑体" w:eastAsia="黑体" w:cs="黑体"/>
                <w:i w:val="0"/>
                <w:iCs w:val="0"/>
                <w:color w:val="auto"/>
                <w:sz w:val="20"/>
                <w:szCs w:val="20"/>
                <w:highlight w:val="none"/>
                <w:u w:val="none"/>
                <w:lang w:val="en-US" w:eastAsia="zh-CN" w:bidi="ar"/>
              </w:rPr>
              <w:t xml:space="preserve">76.10</w:t>
            </w:r>
            <w:r/>
          </w:p>
        </w:tc>
      </w:tr>
      <w:tr>
        <w:trPr>
          <w:jc w:val="center"/>
          <w:trHeight w:val="515"/>
        </w:trPr>
        <w:tc>
          <w:tcPr>
            <w:tcW w:w="744"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color w:val="auto"/>
                <w:szCs w:val="21"/>
                <w:highlight w:val="none"/>
              </w:rPr>
              <w:t xml:space="preserve">5</w:t>
            </w:r>
            <w:r/>
          </w:p>
        </w:tc>
        <w:tc>
          <w:tcPr>
            <w:tcW w:w="2491"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bCs/>
                <w:color w:val="auto"/>
                <w:szCs w:val="21"/>
                <w:highlight w:val="none"/>
              </w:rPr>
              <w:t xml:space="preserve">铺设花岗岩人行道板</w:t>
            </w:r>
            <w:r/>
          </w:p>
        </w:tc>
        <w:tc>
          <w:tcPr>
            <w:tcW w:w="3151"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bCs/>
                <w:color w:val="auto"/>
                <w:szCs w:val="21"/>
                <w:highlight w:val="none"/>
              </w:rPr>
              <w:t xml:space="preserve">3CM砂浆+6CM道板</w:t>
            </w:r>
            <w:r/>
          </w:p>
        </w:tc>
        <w:tc>
          <w:tcPr>
            <w:tcW w:w="1232"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bCs/>
                <w:color w:val="auto"/>
                <w:szCs w:val="21"/>
                <w:highlight w:val="none"/>
              </w:rPr>
              <w:t xml:space="preserve">㎡</w:t>
            </w:r>
            <w:r/>
          </w:p>
        </w:tc>
        <w:tc>
          <w:tcPr>
            <w:tcW w:w="1842" w:type="dxa"/>
            <w:vAlign w:val="center"/>
            <w:textDirection w:val="lrTb"/>
            <w:noWrap w:val="false"/>
          </w:tcPr>
          <w:p>
            <w:pPr>
              <w:jc w:val="center"/>
              <w:keepLines w:val="0"/>
              <w:keepNext w:val="0"/>
              <w:widowControl/>
              <w:rPr>
                <w:rFonts w:hint="eastAsia" w:ascii="黑体" w:hAnsi="黑体" w:eastAsia="黑体" w:cs="黑体"/>
                <w:b/>
                <w:bCs/>
                <w:color w:val="auto"/>
                <w:szCs w:val="21"/>
                <w:highlight w:val="none"/>
              </w:rPr>
              <w:suppressLineNumbers w:val="0"/>
            </w:pPr>
            <w:r>
              <w:rPr>
                <w:rFonts w:hint="eastAsia" w:ascii="黑体" w:hAnsi="黑体" w:eastAsia="黑体" w:cs="黑体"/>
                <w:i w:val="0"/>
                <w:iCs w:val="0"/>
                <w:color w:val="auto"/>
                <w:sz w:val="20"/>
                <w:szCs w:val="20"/>
                <w:highlight w:val="none"/>
                <w:u w:val="none"/>
                <w:lang w:val="en-US" w:eastAsia="zh-CN" w:bidi="ar"/>
              </w:rPr>
              <w:t xml:space="preserve">205.9</w:t>
            </w:r>
            <w:r/>
          </w:p>
        </w:tc>
      </w:tr>
      <w:tr>
        <w:trPr>
          <w:jc w:val="center"/>
          <w:trHeight w:val="738"/>
        </w:trPr>
        <w:tc>
          <w:tcPr>
            <w:tcW w:w="744"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color w:val="auto"/>
                <w:szCs w:val="21"/>
                <w:highlight w:val="none"/>
              </w:rPr>
              <w:t xml:space="preserve">6</w:t>
            </w:r>
            <w:r/>
          </w:p>
        </w:tc>
        <w:tc>
          <w:tcPr>
            <w:tcW w:w="2491"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bCs/>
                <w:color w:val="auto"/>
                <w:szCs w:val="21"/>
                <w:highlight w:val="none"/>
              </w:rPr>
              <w:t xml:space="preserve">铺设花岗岩人行道板（</w:t>
            </w:r>
            <w:r>
              <w:rPr>
                <w:rFonts w:hint="eastAsia" w:ascii="黑体" w:hAnsi="黑体" w:eastAsia="黑体" w:cs="黑体"/>
                <w:bCs/>
                <w:color w:val="auto"/>
                <w:szCs w:val="21"/>
                <w:highlight w:val="none"/>
                <w:lang w:val="en-US" w:eastAsia="zh-CN"/>
              </w:rPr>
              <w:t xml:space="preserve">利</w:t>
            </w:r>
            <w:r>
              <w:rPr>
                <w:rFonts w:hint="eastAsia" w:ascii="黑体" w:hAnsi="黑体" w:eastAsia="黑体" w:cs="黑体"/>
                <w:bCs/>
                <w:color w:val="auto"/>
                <w:szCs w:val="21"/>
                <w:highlight w:val="none"/>
              </w:rPr>
              <w:t xml:space="preserve">旧）</w:t>
            </w:r>
            <w:r/>
          </w:p>
        </w:tc>
        <w:tc>
          <w:tcPr>
            <w:tcW w:w="3151"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bCs/>
                <w:color w:val="auto"/>
                <w:szCs w:val="21"/>
                <w:highlight w:val="none"/>
              </w:rPr>
              <w:t xml:space="preserve">3CM砂浆+6CM道板</w:t>
            </w:r>
            <w:r/>
          </w:p>
        </w:tc>
        <w:tc>
          <w:tcPr>
            <w:tcW w:w="1232"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bCs/>
                <w:color w:val="auto"/>
                <w:szCs w:val="21"/>
                <w:highlight w:val="none"/>
              </w:rPr>
              <w:t xml:space="preserve">㎡</w:t>
            </w:r>
            <w:r/>
          </w:p>
        </w:tc>
        <w:tc>
          <w:tcPr>
            <w:tcW w:w="1842" w:type="dxa"/>
            <w:vAlign w:val="center"/>
            <w:textDirection w:val="lrTb"/>
            <w:noWrap w:val="false"/>
          </w:tcPr>
          <w:p>
            <w:pPr>
              <w:jc w:val="center"/>
              <w:keepLines w:val="0"/>
              <w:keepNext w:val="0"/>
              <w:widowControl/>
              <w:rPr>
                <w:rFonts w:hint="eastAsia" w:ascii="黑体" w:hAnsi="黑体" w:eastAsia="黑体" w:cs="黑体"/>
                <w:b/>
                <w:bCs/>
                <w:color w:val="auto"/>
                <w:szCs w:val="21"/>
                <w:highlight w:val="none"/>
              </w:rPr>
              <w:suppressLineNumbers w:val="0"/>
            </w:pPr>
            <w:r>
              <w:rPr>
                <w:rFonts w:hint="eastAsia" w:ascii="黑体" w:hAnsi="黑体" w:eastAsia="黑体" w:cs="黑体"/>
                <w:i w:val="0"/>
                <w:iCs w:val="0"/>
                <w:color w:val="auto"/>
                <w:sz w:val="20"/>
                <w:szCs w:val="20"/>
                <w:highlight w:val="none"/>
                <w:u w:val="none"/>
                <w:lang w:val="en-US" w:eastAsia="zh-CN" w:bidi="ar"/>
              </w:rPr>
              <w:t xml:space="preserve">60.09</w:t>
            </w:r>
            <w:r/>
          </w:p>
        </w:tc>
      </w:tr>
      <w:tr>
        <w:trPr>
          <w:jc w:val="center"/>
          <w:trHeight w:val="515"/>
        </w:trPr>
        <w:tc>
          <w:tcPr>
            <w:tcW w:w="744"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color w:val="auto"/>
                <w:szCs w:val="21"/>
                <w:highlight w:val="none"/>
              </w:rPr>
              <w:t xml:space="preserve">7</w:t>
            </w:r>
            <w:r/>
          </w:p>
        </w:tc>
        <w:tc>
          <w:tcPr>
            <w:tcW w:w="2491"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color w:val="auto"/>
                <w:szCs w:val="21"/>
                <w:highlight w:val="none"/>
              </w:rPr>
              <w:t xml:space="preserve">铺设荷兰砖人行道板</w:t>
            </w:r>
            <w:r/>
          </w:p>
        </w:tc>
        <w:tc>
          <w:tcPr>
            <w:tcW w:w="3151"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color w:val="auto"/>
                <w:szCs w:val="21"/>
                <w:highlight w:val="none"/>
              </w:rPr>
              <w:t xml:space="preserve">3CM砂浆+6CM道板</w:t>
            </w:r>
            <w:r/>
          </w:p>
        </w:tc>
        <w:tc>
          <w:tcPr>
            <w:tcW w:w="1232"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bCs/>
                <w:color w:val="auto"/>
                <w:szCs w:val="21"/>
                <w:highlight w:val="none"/>
              </w:rPr>
              <w:t xml:space="preserve">㎡</w:t>
            </w:r>
            <w:r/>
          </w:p>
        </w:tc>
        <w:tc>
          <w:tcPr>
            <w:tcW w:w="1842" w:type="dxa"/>
            <w:vAlign w:val="center"/>
            <w:textDirection w:val="lrTb"/>
            <w:noWrap w:val="false"/>
          </w:tcPr>
          <w:p>
            <w:pPr>
              <w:jc w:val="center"/>
              <w:keepLines w:val="0"/>
              <w:keepNext w:val="0"/>
              <w:widowControl/>
              <w:rPr>
                <w:rFonts w:hint="eastAsia" w:ascii="黑体" w:hAnsi="黑体" w:eastAsia="黑体" w:cs="黑体"/>
                <w:b/>
                <w:bCs/>
                <w:color w:val="auto"/>
                <w:szCs w:val="21"/>
                <w:highlight w:val="none"/>
              </w:rPr>
              <w:suppressLineNumbers w:val="0"/>
            </w:pPr>
            <w:r>
              <w:rPr>
                <w:rFonts w:hint="eastAsia" w:ascii="黑体" w:hAnsi="黑体" w:eastAsia="黑体" w:cs="黑体"/>
                <w:i w:val="0"/>
                <w:iCs w:val="0"/>
                <w:color w:val="auto"/>
                <w:sz w:val="20"/>
                <w:szCs w:val="20"/>
                <w:highlight w:val="none"/>
                <w:u w:val="none"/>
                <w:lang w:val="en-US" w:eastAsia="zh-CN" w:bidi="ar"/>
              </w:rPr>
              <w:t xml:space="preserve">87.49</w:t>
            </w:r>
            <w:r/>
          </w:p>
        </w:tc>
      </w:tr>
      <w:tr>
        <w:trPr>
          <w:jc w:val="center"/>
          <w:trHeight w:val="738"/>
        </w:trPr>
        <w:tc>
          <w:tcPr>
            <w:tcW w:w="744"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color w:val="auto"/>
                <w:szCs w:val="21"/>
                <w:highlight w:val="none"/>
              </w:rPr>
              <w:t xml:space="preserve">8</w:t>
            </w:r>
            <w:r/>
          </w:p>
        </w:tc>
        <w:tc>
          <w:tcPr>
            <w:tcW w:w="2491"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color w:val="auto"/>
                <w:szCs w:val="21"/>
                <w:highlight w:val="none"/>
              </w:rPr>
              <w:t xml:space="preserve">铺设荷兰砖人行道板（</w:t>
            </w:r>
            <w:r>
              <w:rPr>
                <w:rFonts w:hint="eastAsia" w:ascii="黑体" w:hAnsi="黑体" w:eastAsia="黑体" w:cs="黑体"/>
                <w:color w:val="auto"/>
                <w:szCs w:val="21"/>
                <w:highlight w:val="none"/>
                <w:lang w:val="en-US" w:eastAsia="zh-CN"/>
              </w:rPr>
              <w:t xml:space="preserve">利</w:t>
            </w:r>
            <w:r>
              <w:rPr>
                <w:rFonts w:hint="eastAsia" w:ascii="黑体" w:hAnsi="黑体" w:eastAsia="黑体" w:cs="黑体"/>
                <w:color w:val="auto"/>
                <w:szCs w:val="21"/>
                <w:highlight w:val="none"/>
              </w:rPr>
              <w:t xml:space="preserve">旧）</w:t>
            </w:r>
            <w:r/>
          </w:p>
        </w:tc>
        <w:tc>
          <w:tcPr>
            <w:tcW w:w="3151"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color w:val="auto"/>
                <w:szCs w:val="21"/>
                <w:highlight w:val="none"/>
              </w:rPr>
              <w:t xml:space="preserve">3CM砂浆+6CM道板</w:t>
            </w:r>
            <w:r/>
          </w:p>
        </w:tc>
        <w:tc>
          <w:tcPr>
            <w:tcW w:w="1232"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bCs/>
                <w:color w:val="auto"/>
                <w:szCs w:val="21"/>
                <w:highlight w:val="none"/>
              </w:rPr>
              <w:t xml:space="preserve">㎡</w:t>
            </w:r>
            <w:r/>
          </w:p>
        </w:tc>
        <w:tc>
          <w:tcPr>
            <w:tcW w:w="1842" w:type="dxa"/>
            <w:vAlign w:val="center"/>
            <w:textDirection w:val="lrTb"/>
            <w:noWrap w:val="false"/>
          </w:tcPr>
          <w:p>
            <w:pPr>
              <w:jc w:val="center"/>
              <w:keepLines w:val="0"/>
              <w:keepNext w:val="0"/>
              <w:widowControl/>
              <w:rPr>
                <w:rFonts w:hint="eastAsia" w:ascii="黑体" w:hAnsi="黑体" w:eastAsia="黑体" w:cs="黑体"/>
                <w:b/>
                <w:bCs/>
                <w:color w:val="auto"/>
                <w:szCs w:val="21"/>
                <w:highlight w:val="none"/>
              </w:rPr>
              <w:suppressLineNumbers w:val="0"/>
            </w:pPr>
            <w:r>
              <w:rPr>
                <w:rFonts w:hint="eastAsia" w:ascii="黑体" w:hAnsi="黑体" w:eastAsia="黑体" w:cs="黑体"/>
                <w:i w:val="0"/>
                <w:iCs w:val="0"/>
                <w:color w:val="auto"/>
                <w:sz w:val="20"/>
                <w:szCs w:val="20"/>
                <w:highlight w:val="none"/>
                <w:u w:val="none"/>
                <w:lang w:val="en-US" w:eastAsia="zh-CN" w:bidi="ar"/>
              </w:rPr>
              <w:t xml:space="preserve">32.98</w:t>
            </w:r>
            <w:r/>
          </w:p>
        </w:tc>
      </w:tr>
      <w:tr>
        <w:trPr>
          <w:jc w:val="center"/>
          <w:trHeight w:val="515"/>
        </w:trPr>
        <w:tc>
          <w:tcPr>
            <w:tcW w:w="744"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color w:val="auto"/>
                <w:szCs w:val="21"/>
                <w:highlight w:val="none"/>
              </w:rPr>
              <w:t xml:space="preserve">9</w:t>
            </w:r>
            <w:r/>
          </w:p>
        </w:tc>
        <w:tc>
          <w:tcPr>
            <w:gridSpan w:val="2"/>
            <w:tcW w:w="5642"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color w:val="auto"/>
                <w:szCs w:val="21"/>
                <w:highlight w:val="none"/>
              </w:rPr>
              <w:t xml:space="preserve">铺设砼侧石</w:t>
            </w:r>
            <w:r/>
          </w:p>
        </w:tc>
        <w:tc>
          <w:tcPr>
            <w:tcW w:w="1232"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color w:val="auto"/>
                <w:szCs w:val="21"/>
                <w:highlight w:val="none"/>
              </w:rPr>
              <w:t xml:space="preserve">m</w:t>
            </w:r>
            <w:r/>
          </w:p>
        </w:tc>
        <w:tc>
          <w:tcPr>
            <w:tcW w:w="1842" w:type="dxa"/>
            <w:vAlign w:val="center"/>
            <w:textDirection w:val="lrTb"/>
            <w:noWrap w:val="false"/>
          </w:tcPr>
          <w:p>
            <w:pPr>
              <w:jc w:val="center"/>
              <w:keepLines w:val="0"/>
              <w:keepNext w:val="0"/>
              <w:widowControl/>
              <w:rPr>
                <w:rFonts w:hint="eastAsia" w:ascii="黑体" w:hAnsi="黑体" w:eastAsia="黑体" w:cs="黑体"/>
                <w:b/>
                <w:bCs/>
                <w:color w:val="auto"/>
                <w:szCs w:val="21"/>
                <w:highlight w:val="none"/>
              </w:rPr>
              <w:suppressLineNumbers w:val="0"/>
            </w:pPr>
            <w:r>
              <w:rPr>
                <w:rFonts w:hint="eastAsia" w:ascii="黑体" w:hAnsi="黑体" w:eastAsia="黑体" w:cs="黑体"/>
                <w:i w:val="0"/>
                <w:iCs w:val="0"/>
                <w:color w:val="auto"/>
                <w:sz w:val="20"/>
                <w:szCs w:val="20"/>
                <w:highlight w:val="none"/>
                <w:u w:val="none"/>
                <w:lang w:val="en-US" w:eastAsia="zh-CN" w:bidi="ar"/>
              </w:rPr>
              <w:t xml:space="preserve">52.48</w:t>
            </w:r>
            <w:r/>
          </w:p>
        </w:tc>
      </w:tr>
      <w:tr>
        <w:trPr>
          <w:jc w:val="center"/>
          <w:trHeight w:val="515"/>
        </w:trPr>
        <w:tc>
          <w:tcPr>
            <w:tcW w:w="744"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color w:val="auto"/>
                <w:szCs w:val="21"/>
                <w:highlight w:val="none"/>
              </w:rPr>
              <w:t xml:space="preserve">10</w:t>
            </w:r>
            <w:r/>
          </w:p>
        </w:tc>
        <w:tc>
          <w:tcPr>
            <w:gridSpan w:val="2"/>
            <w:tcW w:w="5642"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color w:val="auto"/>
                <w:szCs w:val="21"/>
                <w:highlight w:val="none"/>
              </w:rPr>
              <w:t xml:space="preserve">铺设花岗岩侧石（15*35cm）</w:t>
            </w:r>
            <w:r/>
          </w:p>
        </w:tc>
        <w:tc>
          <w:tcPr>
            <w:tcW w:w="1232"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color w:val="auto"/>
                <w:szCs w:val="21"/>
                <w:highlight w:val="none"/>
              </w:rPr>
              <w:t xml:space="preserve">m</w:t>
            </w:r>
            <w:r/>
          </w:p>
        </w:tc>
        <w:tc>
          <w:tcPr>
            <w:tcW w:w="1842" w:type="dxa"/>
            <w:vAlign w:val="center"/>
            <w:textDirection w:val="lrTb"/>
            <w:noWrap w:val="false"/>
          </w:tcPr>
          <w:p>
            <w:pPr>
              <w:jc w:val="center"/>
              <w:keepLines w:val="0"/>
              <w:keepNext w:val="0"/>
              <w:widowControl/>
              <w:rPr>
                <w:rFonts w:hint="eastAsia" w:ascii="黑体" w:hAnsi="黑体" w:eastAsia="黑体" w:cs="黑体"/>
                <w:b/>
                <w:bCs/>
                <w:color w:val="auto"/>
                <w:szCs w:val="21"/>
                <w:highlight w:val="none"/>
              </w:rPr>
              <w:suppressLineNumbers w:val="0"/>
            </w:pPr>
            <w:r>
              <w:rPr>
                <w:rFonts w:hint="eastAsia" w:ascii="黑体" w:hAnsi="黑体" w:eastAsia="黑体" w:cs="黑体"/>
                <w:i w:val="0"/>
                <w:iCs w:val="0"/>
                <w:color w:val="auto"/>
                <w:sz w:val="20"/>
                <w:szCs w:val="20"/>
                <w:highlight w:val="none"/>
                <w:u w:val="none"/>
                <w:lang w:val="en-US" w:eastAsia="zh-CN" w:bidi="ar"/>
              </w:rPr>
              <w:t xml:space="preserve">109.4</w:t>
            </w:r>
            <w:r/>
          </w:p>
        </w:tc>
      </w:tr>
      <w:tr>
        <w:trPr>
          <w:jc w:val="center"/>
          <w:trHeight w:val="515"/>
        </w:trPr>
        <w:tc>
          <w:tcPr>
            <w:tcW w:w="744"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color w:val="auto"/>
                <w:szCs w:val="21"/>
                <w:highlight w:val="none"/>
              </w:rPr>
              <w:t xml:space="preserve">11</w:t>
            </w:r>
            <w:r/>
          </w:p>
        </w:tc>
        <w:tc>
          <w:tcPr>
            <w:gridSpan w:val="2"/>
            <w:tcW w:w="5642"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color w:val="auto"/>
                <w:szCs w:val="21"/>
                <w:highlight w:val="none"/>
              </w:rPr>
              <w:t xml:space="preserve">铺设砼平石</w:t>
            </w:r>
            <w:r/>
          </w:p>
        </w:tc>
        <w:tc>
          <w:tcPr>
            <w:tcW w:w="1232"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color w:val="auto"/>
                <w:szCs w:val="21"/>
                <w:highlight w:val="none"/>
              </w:rPr>
              <w:t xml:space="preserve">m</w:t>
            </w:r>
            <w:r/>
          </w:p>
        </w:tc>
        <w:tc>
          <w:tcPr>
            <w:tcW w:w="1842" w:type="dxa"/>
            <w:vAlign w:val="center"/>
            <w:textDirection w:val="lrTb"/>
            <w:noWrap w:val="false"/>
          </w:tcPr>
          <w:p>
            <w:pPr>
              <w:jc w:val="center"/>
              <w:keepLines w:val="0"/>
              <w:keepNext w:val="0"/>
              <w:widowControl/>
              <w:rPr>
                <w:rFonts w:hint="eastAsia" w:ascii="黑体" w:hAnsi="黑体" w:eastAsia="黑体" w:cs="黑体"/>
                <w:b/>
                <w:bCs/>
                <w:color w:val="auto"/>
                <w:szCs w:val="21"/>
                <w:highlight w:val="none"/>
              </w:rPr>
              <w:suppressLineNumbers w:val="0"/>
            </w:pPr>
            <w:r>
              <w:rPr>
                <w:rFonts w:hint="eastAsia" w:ascii="黑体" w:hAnsi="黑体" w:eastAsia="黑体" w:cs="黑体"/>
                <w:i w:val="0"/>
                <w:iCs w:val="0"/>
                <w:color w:val="auto"/>
                <w:sz w:val="20"/>
                <w:szCs w:val="20"/>
                <w:highlight w:val="none"/>
                <w:u w:val="none"/>
                <w:lang w:val="en-US" w:eastAsia="zh-CN" w:bidi="ar"/>
              </w:rPr>
              <w:t xml:space="preserve">56.75</w:t>
            </w:r>
            <w:r/>
          </w:p>
        </w:tc>
      </w:tr>
      <w:tr>
        <w:trPr>
          <w:jc w:val="center"/>
          <w:trHeight w:val="515"/>
        </w:trPr>
        <w:tc>
          <w:tcPr>
            <w:tcW w:w="744"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color w:val="auto"/>
                <w:szCs w:val="21"/>
                <w:highlight w:val="none"/>
              </w:rPr>
              <w:t xml:space="preserve">12</w:t>
            </w:r>
            <w:r/>
          </w:p>
        </w:tc>
        <w:tc>
          <w:tcPr>
            <w:tcW w:w="2491"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color w:val="auto"/>
                <w:szCs w:val="21"/>
                <w:highlight w:val="none"/>
              </w:rPr>
              <w:t xml:space="preserve">铺设花岗岩平石</w:t>
            </w:r>
            <w:r/>
          </w:p>
        </w:tc>
        <w:tc>
          <w:tcPr>
            <w:tcW w:w="3151"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color w:val="auto"/>
                <w:szCs w:val="21"/>
                <w:highlight w:val="none"/>
              </w:rPr>
              <w:t xml:space="preserve">30*8cm</w:t>
            </w:r>
            <w:r/>
          </w:p>
        </w:tc>
        <w:tc>
          <w:tcPr>
            <w:tcW w:w="1232"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color w:val="auto"/>
                <w:szCs w:val="21"/>
                <w:highlight w:val="none"/>
              </w:rPr>
              <w:t xml:space="preserve">m</w:t>
            </w:r>
            <w:r/>
          </w:p>
        </w:tc>
        <w:tc>
          <w:tcPr>
            <w:tcW w:w="1842" w:type="dxa"/>
            <w:vAlign w:val="center"/>
            <w:textDirection w:val="lrTb"/>
            <w:noWrap w:val="false"/>
          </w:tcPr>
          <w:p>
            <w:pPr>
              <w:jc w:val="center"/>
              <w:keepLines w:val="0"/>
              <w:keepNext w:val="0"/>
              <w:widowControl/>
              <w:rPr>
                <w:rFonts w:hint="eastAsia" w:ascii="黑体" w:hAnsi="黑体" w:eastAsia="黑体" w:cs="黑体"/>
                <w:b/>
                <w:bCs/>
                <w:color w:val="auto"/>
                <w:szCs w:val="21"/>
                <w:highlight w:val="none"/>
              </w:rPr>
              <w:suppressLineNumbers w:val="0"/>
            </w:pPr>
            <w:r>
              <w:rPr>
                <w:rFonts w:hint="eastAsia" w:ascii="黑体" w:hAnsi="黑体" w:eastAsia="黑体" w:cs="黑体"/>
                <w:i w:val="0"/>
                <w:iCs w:val="0"/>
                <w:color w:val="auto"/>
                <w:sz w:val="20"/>
                <w:szCs w:val="20"/>
                <w:highlight w:val="none"/>
                <w:u w:val="none"/>
                <w:lang w:val="en-US" w:eastAsia="zh-CN" w:bidi="ar"/>
              </w:rPr>
              <w:t xml:space="preserve">101.69</w:t>
            </w:r>
            <w:r/>
          </w:p>
        </w:tc>
      </w:tr>
      <w:tr>
        <w:trPr>
          <w:jc w:val="center"/>
          <w:trHeight w:val="515"/>
        </w:trPr>
        <w:tc>
          <w:tcPr>
            <w:tcW w:w="744"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color w:val="auto"/>
                <w:szCs w:val="21"/>
                <w:highlight w:val="none"/>
              </w:rPr>
              <w:t xml:space="preserve">13</w:t>
            </w:r>
            <w:r/>
          </w:p>
        </w:tc>
        <w:tc>
          <w:tcPr>
            <w:tcW w:w="2491"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color w:val="auto"/>
                <w:szCs w:val="21"/>
                <w:highlight w:val="none"/>
              </w:rPr>
              <w:t xml:space="preserve">碎石</w:t>
            </w:r>
            <w:r/>
          </w:p>
        </w:tc>
        <w:tc>
          <w:tcPr>
            <w:tcW w:w="3151"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color w:val="auto"/>
                <w:szCs w:val="21"/>
                <w:highlight w:val="none"/>
              </w:rPr>
              <w:t xml:space="preserve">10cm</w:t>
            </w:r>
            <w:r/>
          </w:p>
        </w:tc>
        <w:tc>
          <w:tcPr>
            <w:tcW w:w="1232"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bCs/>
                <w:color w:val="auto"/>
                <w:szCs w:val="21"/>
                <w:highlight w:val="none"/>
              </w:rPr>
              <w:t xml:space="preserve">㎡</w:t>
            </w:r>
            <w:r/>
          </w:p>
        </w:tc>
        <w:tc>
          <w:tcPr>
            <w:tcW w:w="1842" w:type="dxa"/>
            <w:vAlign w:val="center"/>
            <w:textDirection w:val="lrTb"/>
            <w:noWrap w:val="false"/>
          </w:tcPr>
          <w:p>
            <w:pPr>
              <w:jc w:val="center"/>
              <w:keepLines w:val="0"/>
              <w:keepNext w:val="0"/>
              <w:widowControl/>
              <w:rPr>
                <w:rFonts w:hint="eastAsia" w:ascii="黑体" w:hAnsi="黑体" w:eastAsia="黑体" w:cs="黑体"/>
                <w:b/>
                <w:bCs/>
                <w:color w:val="auto"/>
                <w:szCs w:val="21"/>
                <w:highlight w:val="none"/>
              </w:rPr>
              <w:suppressLineNumbers w:val="0"/>
            </w:pPr>
            <w:r>
              <w:rPr>
                <w:rFonts w:hint="eastAsia" w:ascii="黑体" w:hAnsi="黑体" w:eastAsia="黑体" w:cs="黑体"/>
                <w:i w:val="0"/>
                <w:iCs w:val="0"/>
                <w:color w:val="auto"/>
                <w:sz w:val="20"/>
                <w:szCs w:val="20"/>
                <w:highlight w:val="none"/>
                <w:u w:val="none"/>
                <w:lang w:val="en-US" w:eastAsia="zh-CN" w:bidi="ar"/>
              </w:rPr>
              <w:t xml:space="preserve">31.57</w:t>
            </w:r>
            <w:r/>
          </w:p>
        </w:tc>
      </w:tr>
      <w:tr>
        <w:trPr>
          <w:jc w:val="center"/>
          <w:trHeight w:val="515"/>
        </w:trPr>
        <w:tc>
          <w:tcPr>
            <w:tcW w:w="744"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color w:val="auto"/>
                <w:szCs w:val="21"/>
                <w:highlight w:val="none"/>
              </w:rPr>
              <w:t xml:space="preserve">14</w:t>
            </w:r>
            <w:r/>
          </w:p>
        </w:tc>
        <w:tc>
          <w:tcPr>
            <w:tcW w:w="2491"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color w:val="auto"/>
                <w:szCs w:val="21"/>
                <w:highlight w:val="none"/>
              </w:rPr>
              <w:t xml:space="preserve">浇筑混凝土基础</w:t>
            </w:r>
            <w:r/>
          </w:p>
        </w:tc>
        <w:tc>
          <w:tcPr>
            <w:tcW w:w="3151"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color w:val="auto"/>
                <w:szCs w:val="21"/>
                <w:highlight w:val="none"/>
              </w:rPr>
              <w:t xml:space="preserve">10cmC20</w:t>
            </w:r>
            <w:r/>
          </w:p>
        </w:tc>
        <w:tc>
          <w:tcPr>
            <w:tcW w:w="1232"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bCs/>
                <w:color w:val="auto"/>
                <w:szCs w:val="21"/>
                <w:highlight w:val="none"/>
              </w:rPr>
              <w:t xml:space="preserve">㎡</w:t>
            </w:r>
            <w:r/>
          </w:p>
        </w:tc>
        <w:tc>
          <w:tcPr>
            <w:tcW w:w="1842" w:type="dxa"/>
            <w:vAlign w:val="center"/>
            <w:textDirection w:val="lrTb"/>
            <w:noWrap w:val="false"/>
          </w:tcPr>
          <w:p>
            <w:pPr>
              <w:jc w:val="center"/>
              <w:keepLines w:val="0"/>
              <w:keepNext w:val="0"/>
              <w:widowControl/>
              <w:rPr>
                <w:rFonts w:hint="eastAsia" w:ascii="黑体" w:hAnsi="黑体" w:eastAsia="黑体" w:cs="黑体"/>
                <w:b/>
                <w:bCs/>
                <w:color w:val="auto"/>
                <w:szCs w:val="21"/>
                <w:highlight w:val="none"/>
              </w:rPr>
              <w:suppressLineNumbers w:val="0"/>
            </w:pPr>
            <w:r>
              <w:rPr>
                <w:rFonts w:hint="eastAsia" w:ascii="黑体" w:hAnsi="黑体" w:eastAsia="黑体" w:cs="黑体"/>
                <w:i w:val="0"/>
                <w:iCs w:val="0"/>
                <w:color w:val="auto"/>
                <w:sz w:val="20"/>
                <w:szCs w:val="20"/>
                <w:highlight w:val="none"/>
                <w:u w:val="none"/>
                <w:lang w:val="en-US" w:eastAsia="zh-CN" w:bidi="ar"/>
              </w:rPr>
              <w:t xml:space="preserve">73.81</w:t>
            </w:r>
            <w:r/>
          </w:p>
        </w:tc>
      </w:tr>
      <w:tr>
        <w:trPr>
          <w:jc w:val="center"/>
          <w:trHeight w:val="515"/>
        </w:trPr>
        <w:tc>
          <w:tcPr>
            <w:tcW w:w="744"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color w:val="auto"/>
                <w:szCs w:val="21"/>
                <w:highlight w:val="none"/>
              </w:rPr>
              <w:t xml:space="preserve">15</w:t>
            </w:r>
            <w:r/>
          </w:p>
        </w:tc>
        <w:tc>
          <w:tcPr>
            <w:tcW w:w="2491"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color w:val="auto"/>
                <w:szCs w:val="21"/>
                <w:highlight w:val="none"/>
              </w:rPr>
              <w:t xml:space="preserve">窨井调整</w:t>
            </w:r>
            <w:r/>
          </w:p>
        </w:tc>
        <w:tc>
          <w:tcPr>
            <w:tcW w:w="3151"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color w:val="auto"/>
                <w:szCs w:val="21"/>
                <w:highlight w:val="none"/>
              </w:rPr>
              <w:t xml:space="preserve">30cm内</w:t>
            </w:r>
            <w:r/>
          </w:p>
        </w:tc>
        <w:tc>
          <w:tcPr>
            <w:tcW w:w="1232" w:type="dxa"/>
            <w:vAlign w:val="center"/>
            <w:textDirection w:val="lrTb"/>
            <w:noWrap w:val="false"/>
          </w:tcPr>
          <w:p>
            <w:pPr>
              <w:jc w:val="center"/>
              <w:spacing w:line="360" w:lineRule="auto"/>
              <w:widowControl/>
              <w:rPr>
                <w:rFonts w:hint="eastAsia" w:ascii="黑体" w:hAnsi="黑体" w:eastAsia="黑体" w:cs="黑体"/>
                <w:b/>
                <w:color w:val="auto"/>
                <w:szCs w:val="21"/>
                <w:highlight w:val="none"/>
              </w:rPr>
            </w:pPr>
            <w:r>
              <w:rPr>
                <w:rFonts w:hint="eastAsia" w:ascii="黑体" w:hAnsi="黑体" w:eastAsia="黑体" w:cs="黑体"/>
                <w:color w:val="auto"/>
                <w:szCs w:val="21"/>
                <w:highlight w:val="none"/>
              </w:rPr>
              <w:t xml:space="preserve">个</w:t>
            </w:r>
            <w:r/>
          </w:p>
        </w:tc>
        <w:tc>
          <w:tcPr>
            <w:tcW w:w="1842" w:type="dxa"/>
            <w:vAlign w:val="center"/>
            <w:textDirection w:val="lrTb"/>
            <w:noWrap w:val="false"/>
          </w:tcPr>
          <w:p>
            <w:pPr>
              <w:jc w:val="center"/>
              <w:keepLines w:val="0"/>
              <w:keepNext w:val="0"/>
              <w:widowControl/>
              <w:rPr>
                <w:rFonts w:hint="eastAsia" w:ascii="黑体" w:hAnsi="黑体" w:eastAsia="黑体" w:cs="黑体"/>
                <w:b/>
                <w:bCs/>
                <w:color w:val="auto"/>
                <w:szCs w:val="21"/>
                <w:highlight w:val="none"/>
              </w:rPr>
              <w:suppressLineNumbers w:val="0"/>
            </w:pPr>
            <w:r>
              <w:rPr>
                <w:rFonts w:hint="eastAsia" w:ascii="黑体" w:hAnsi="黑体" w:eastAsia="黑体" w:cs="黑体"/>
                <w:i w:val="0"/>
                <w:iCs w:val="0"/>
                <w:color w:val="auto"/>
                <w:sz w:val="20"/>
                <w:szCs w:val="20"/>
                <w:highlight w:val="none"/>
                <w:u w:val="none"/>
                <w:lang w:val="en-US" w:eastAsia="zh-CN" w:bidi="ar"/>
              </w:rPr>
              <w:t xml:space="preserve">84.71</w:t>
            </w:r>
            <w:r/>
          </w:p>
        </w:tc>
      </w:tr>
      <w:tr>
        <w:trPr>
          <w:jc w:val="center"/>
          <w:trHeight w:val="515"/>
        </w:trPr>
        <w:tc>
          <w:tcPr>
            <w:tcW w:w="744" w:type="dxa"/>
            <w:vAlign w:val="center"/>
            <w:textDirection w:val="lrTb"/>
            <w:noWrap w:val="false"/>
          </w:tcPr>
          <w:p>
            <w:pPr>
              <w:jc w:val="cente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16</w:t>
            </w:r>
            <w:r/>
          </w:p>
        </w:tc>
        <w:tc>
          <w:tcPr>
            <w:tcW w:w="2491" w:type="dxa"/>
            <w:vAlign w:val="center"/>
            <w:textDirection w:val="lrTb"/>
            <w:noWrap w:val="false"/>
          </w:tcPr>
          <w:p>
            <w:pPr>
              <w:jc w:val="cente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lang w:val="en-US" w:eastAsia="zh-CN"/>
              </w:rPr>
              <w:t xml:space="preserve">标线恢复</w:t>
            </w:r>
            <w:r/>
          </w:p>
        </w:tc>
        <w:tc>
          <w:tcPr>
            <w:tcW w:w="3151" w:type="dxa"/>
            <w:vAlign w:val="center"/>
            <w:textDirection w:val="lrTb"/>
            <w:noWrap w:val="false"/>
          </w:tcPr>
          <w:p>
            <w:pPr>
              <w:jc w:val="cente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热熔标线</w:t>
            </w:r>
            <w:r/>
          </w:p>
        </w:tc>
        <w:tc>
          <w:tcPr>
            <w:tcW w:w="1232" w:type="dxa"/>
            <w:vAlign w:val="center"/>
            <w:textDirection w:val="lrTb"/>
            <w:noWrap w:val="false"/>
          </w:tcPr>
          <w:p>
            <w:pPr>
              <w:jc w:val="center"/>
              <w:spacing w:line="360" w:lineRule="auto"/>
              <w:widowControl/>
              <w:rPr>
                <w:rFonts w:hint="eastAsia" w:ascii="黑体" w:hAnsi="黑体" w:eastAsia="黑体" w:cs="黑体"/>
                <w:color w:val="auto"/>
                <w:szCs w:val="21"/>
                <w:highlight w:val="none"/>
              </w:rPr>
            </w:pPr>
            <w:r>
              <w:rPr>
                <w:rFonts w:hint="eastAsia" w:ascii="黑体" w:hAnsi="黑体" w:eastAsia="黑体" w:cs="黑体"/>
                <w:bCs/>
                <w:color w:val="auto"/>
                <w:szCs w:val="21"/>
                <w:highlight w:val="none"/>
              </w:rPr>
              <w:t xml:space="preserve">㎡</w:t>
            </w:r>
            <w:r/>
          </w:p>
        </w:tc>
        <w:tc>
          <w:tcPr>
            <w:tcW w:w="1842" w:type="dxa"/>
            <w:vAlign w:val="center"/>
            <w:textDirection w:val="lrTb"/>
            <w:noWrap w:val="false"/>
          </w:tcPr>
          <w:p>
            <w:pPr>
              <w:jc w:val="center"/>
              <w:keepLines w:val="0"/>
              <w:keepNext w:val="0"/>
              <w:widowControl/>
              <w:rPr>
                <w:rFonts w:hint="eastAsia" w:ascii="黑体" w:hAnsi="黑体" w:eastAsia="黑体" w:cs="黑体"/>
                <w:b/>
                <w:bCs/>
                <w:color w:val="auto"/>
                <w:szCs w:val="21"/>
                <w:highlight w:val="none"/>
              </w:rPr>
              <w:suppressLineNumbers w:val="0"/>
            </w:pPr>
            <w:r>
              <w:rPr>
                <w:rFonts w:hint="eastAsia" w:ascii="黑体" w:hAnsi="黑体" w:eastAsia="黑体" w:cs="黑体"/>
                <w:i w:val="0"/>
                <w:iCs w:val="0"/>
                <w:color w:val="auto"/>
                <w:sz w:val="20"/>
                <w:szCs w:val="20"/>
                <w:highlight w:val="none"/>
                <w:u w:val="none"/>
                <w:lang w:val="en-US" w:eastAsia="zh-CN" w:bidi="ar"/>
              </w:rPr>
              <w:t xml:space="preserve">48.10</w:t>
            </w:r>
            <w:r/>
          </w:p>
        </w:tc>
      </w:tr>
      <w:tr>
        <w:trPr>
          <w:jc w:val="center"/>
          <w:trHeight w:val="515"/>
        </w:trPr>
        <w:tc>
          <w:tcPr>
            <w:tcW w:w="744" w:type="dxa"/>
            <w:vAlign w:val="center"/>
            <w:textDirection w:val="lrTb"/>
            <w:noWrap w:val="false"/>
          </w:tcPr>
          <w:p>
            <w:pPr>
              <w:jc w:val="cente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17</w:t>
            </w:r>
            <w:r/>
          </w:p>
        </w:tc>
        <w:tc>
          <w:tcPr>
            <w:tcW w:w="2491" w:type="dxa"/>
            <w:vAlign w:val="center"/>
            <w:textDirection w:val="lrTb"/>
            <w:noWrap w:val="false"/>
          </w:tcPr>
          <w:p>
            <w:pPr>
              <w:jc w:val="cente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lang w:val="en-US" w:eastAsia="zh-CN"/>
              </w:rPr>
              <w:t xml:space="preserve">标线恢复</w:t>
            </w:r>
            <w:r/>
          </w:p>
        </w:tc>
        <w:tc>
          <w:tcPr>
            <w:tcW w:w="3151" w:type="dxa"/>
            <w:vAlign w:val="center"/>
            <w:textDirection w:val="lrTb"/>
            <w:noWrap w:val="false"/>
          </w:tcPr>
          <w:p>
            <w:pPr>
              <w:jc w:val="cente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冷漆标线</w:t>
            </w:r>
            <w:r/>
          </w:p>
        </w:tc>
        <w:tc>
          <w:tcPr>
            <w:tcW w:w="1232" w:type="dxa"/>
            <w:vAlign w:val="center"/>
            <w:textDirection w:val="lrTb"/>
            <w:noWrap w:val="false"/>
          </w:tcPr>
          <w:p>
            <w:pPr>
              <w:jc w:val="center"/>
              <w:spacing w:line="360" w:lineRule="auto"/>
              <w:widowControl/>
              <w:rPr>
                <w:rFonts w:hint="eastAsia" w:ascii="黑体" w:hAnsi="黑体" w:eastAsia="黑体" w:cs="黑体"/>
                <w:color w:val="auto"/>
                <w:szCs w:val="21"/>
                <w:highlight w:val="none"/>
              </w:rPr>
            </w:pPr>
            <w:r>
              <w:rPr>
                <w:rFonts w:hint="eastAsia" w:ascii="黑体" w:hAnsi="黑体" w:eastAsia="黑体" w:cs="黑体"/>
                <w:bCs/>
                <w:color w:val="auto"/>
                <w:szCs w:val="21"/>
                <w:highlight w:val="none"/>
              </w:rPr>
              <w:t xml:space="preserve">㎡</w:t>
            </w:r>
            <w:r/>
          </w:p>
        </w:tc>
        <w:tc>
          <w:tcPr>
            <w:tcW w:w="1842" w:type="dxa"/>
            <w:vAlign w:val="center"/>
            <w:textDirection w:val="lrTb"/>
            <w:noWrap w:val="false"/>
          </w:tcPr>
          <w:p>
            <w:pPr>
              <w:jc w:val="center"/>
              <w:keepLines w:val="0"/>
              <w:keepNext w:val="0"/>
              <w:widowControl/>
              <w:rPr>
                <w:rFonts w:hint="eastAsia" w:ascii="黑体" w:hAnsi="黑体" w:eastAsia="黑体" w:cs="黑体"/>
                <w:b/>
                <w:bCs/>
                <w:color w:val="auto"/>
                <w:szCs w:val="21"/>
                <w:highlight w:val="none"/>
              </w:rPr>
              <w:suppressLineNumbers w:val="0"/>
            </w:pPr>
            <w:r>
              <w:rPr>
                <w:rFonts w:hint="eastAsia" w:ascii="黑体" w:hAnsi="黑体" w:eastAsia="黑体" w:cs="黑体"/>
                <w:i w:val="0"/>
                <w:iCs w:val="0"/>
                <w:color w:val="auto"/>
                <w:sz w:val="20"/>
                <w:szCs w:val="20"/>
                <w:highlight w:val="none"/>
                <w:u w:val="none"/>
                <w:lang w:val="en-US" w:eastAsia="zh-CN" w:bidi="ar"/>
              </w:rPr>
              <w:t xml:space="preserve">34.03</w:t>
            </w:r>
            <w:r/>
          </w:p>
        </w:tc>
      </w:tr>
      <w:tr>
        <w:trPr>
          <w:jc w:val="center"/>
          <w:trHeight w:val="850"/>
        </w:trPr>
        <w:tc>
          <w:tcPr>
            <w:gridSpan w:val="5"/>
            <w:tcW w:w="9460" w:type="dxa"/>
            <w:vAlign w:val="center"/>
            <w:textDirection w:val="lrTb"/>
            <w:noWrap w:val="false"/>
          </w:tcPr>
          <w:p>
            <w:pPr>
              <w:jc w:val="left"/>
              <w:spacing w:line="360" w:lineRule="auto"/>
              <w:rPr>
                <w:rFonts w:hint="eastAsia" w:ascii="黑体" w:hAnsi="黑体" w:eastAsia="黑体" w:cs="黑体"/>
                <w:b/>
                <w:color w:val="auto"/>
                <w:sz w:val="24"/>
                <w:szCs w:val="24"/>
                <w:highlight w:val="none"/>
                <w:lang w:val="en-US" w:eastAsia="zh-CN" w:bidi="ar-SA"/>
              </w:rPr>
            </w:pPr>
            <w:r>
              <w:rPr>
                <w:rFonts w:hint="eastAsia" w:ascii="黑体" w:hAnsi="黑体" w:eastAsia="黑体" w:cs="黑体"/>
                <w:b/>
                <w:color w:val="auto"/>
                <w:sz w:val="24"/>
                <w:szCs w:val="24"/>
                <w:highlight w:val="none"/>
                <w:lang w:val="en-US" w:eastAsia="zh-CN" w:bidi="ar-SA"/>
              </w:rPr>
              <w:t xml:space="preserve">注：1、以上单价为全费用综合单价。</w:t>
            </w:r>
            <w:r/>
          </w:p>
          <w:p>
            <w:pPr>
              <w:jc w:val="left"/>
              <w:spacing w:line="360" w:lineRule="auto"/>
              <w:rPr>
                <w:rFonts w:hint="eastAsia" w:ascii="黑体" w:hAnsi="黑体" w:eastAsia="黑体" w:cs="黑体"/>
                <w:b/>
                <w:bCs/>
                <w:color w:val="auto"/>
                <w:sz w:val="21"/>
                <w:szCs w:val="21"/>
                <w:highlight w:val="none"/>
                <w:lang w:val="en-US" w:eastAsia="zh-CN" w:bidi="ar-SA"/>
              </w:rPr>
            </w:pPr>
            <w:r>
              <w:rPr>
                <w:rFonts w:hint="eastAsia" w:ascii="黑体" w:hAnsi="黑体" w:eastAsia="黑体" w:cs="黑体"/>
                <w:b/>
                <w:color w:val="auto"/>
                <w:sz w:val="24"/>
                <w:szCs w:val="24"/>
                <w:highlight w:val="none"/>
                <w:lang w:val="en-US" w:eastAsia="zh-CN" w:bidi="ar-SA"/>
              </w:rPr>
              <w:t xml:space="preserve">2、以上单价均包含拆除及外运费用。</w:t>
            </w:r>
            <w:bookmarkEnd w:id="36"/>
            <w:r/>
            <w:r/>
          </w:p>
        </w:tc>
      </w:tr>
    </w:tbl>
    <w:p>
      <w:pPr>
        <w:spacing w:line="360" w:lineRule="auto"/>
        <w:widowControl/>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t xml:space="preserve">注：①采购人不保证清单内容全部实施；②如发生清单以外的维修项目，双方议价后实施。</w:t>
      </w:r>
      <w:r/>
    </w:p>
    <w:p>
      <w:pPr>
        <w:jc w:val="left"/>
        <w:spacing w:line="360" w:lineRule="auto"/>
        <w:widowControl w:val="off"/>
        <w:rPr>
          <w:rFonts w:hint="eastAsia" w:ascii="黑体" w:hAnsi="黑体" w:eastAsia="黑体" w:cs="黑体"/>
          <w:b/>
          <w:color w:val="auto"/>
          <w:sz w:val="21"/>
          <w:szCs w:val="21"/>
          <w:highlight w:val="none"/>
          <w:lang w:val="en-US" w:eastAsia="zh-CN" w:bidi="ar-SA"/>
        </w:rPr>
      </w:pPr>
      <w:r>
        <w:rPr>
          <w:rFonts w:hint="eastAsia" w:ascii="黑体" w:hAnsi="黑体" w:eastAsia="黑体" w:cs="黑体"/>
          <w:b/>
          <w:color w:val="auto"/>
          <w:sz w:val="21"/>
          <w:szCs w:val="21"/>
          <w:highlight w:val="none"/>
          <w:lang w:val="en-US" w:eastAsia="zh-CN" w:bidi="ar-SA"/>
        </w:rPr>
        <w:t xml:space="preserve">六、有关响应报价的要求</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bCs/>
          <w:color w:val="auto"/>
          <w:sz w:val="21"/>
          <w:szCs w:val="21"/>
          <w:highlight w:val="none"/>
          <w:lang w:val="en-US" w:eastAsia="zh-CN" w:bidi="ar-SA"/>
        </w:rPr>
        <w:t xml:space="preserve">1、</w:t>
      </w:r>
      <w:r>
        <w:rPr>
          <w:rFonts w:hint="eastAsia" w:ascii="黑体" w:hAnsi="黑体" w:eastAsia="黑体" w:cs="黑体"/>
          <w:color w:val="auto"/>
          <w:sz w:val="21"/>
          <w:szCs w:val="21"/>
          <w:highlight w:val="none"/>
          <w:lang w:val="en-US" w:eastAsia="zh-CN" w:bidi="ar-SA"/>
        </w:rPr>
        <w:t xml:space="preserve">本项目施工过程中，如有破坏、现场设备移位安装等，供应商报价时候须充分考虑以上内容及施工现场实际拆除并恢复等，采购人不再另行支付费用。</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2、报价内容</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响应报价应包括竞争性磋商文件中所确定的范围内工程量清单中所含项目的全部内容，以及为完成上述内容所需的全部费用。其根据为供应商提交的已标价的工程量清单。</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3、 报价方式</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b/>
          <w:bCs/>
          <w:color w:val="auto"/>
          <w:sz w:val="21"/>
          <w:szCs w:val="21"/>
          <w:highlight w:val="none"/>
          <w:lang w:val="en-US" w:eastAsia="zh-CN" w:bidi="ar-SA"/>
        </w:rPr>
        <w:t xml:space="preserve">项目报价方式采用优惠率报价。</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4、响应文件报价要求：</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供应商应充分考虑施工期间各类建材的市场风险，本工程工期较短结算时综合单价不予调整。</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供应商充分考虑政策性关于人工、机械费用等方面调整，并计入综合单价报价，供应商所填写的单价在合同实施期间不因市场变化因素而变动，结算不再调整。</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5、其他说明</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5.1、本磋商文件中使用的词语“采购人（招标人）”和“供应商（供应商）”分别与合同条款中定义的“发包人”和“承包人”同义。</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5.2履约保证金：本项目履约保证金为采购预算价的3%，提交形式：以金融机构、担保机构出具的保函等非现金形式提交。退还：缺陷责任期满且无质量问题，无息返还。</w:t>
      </w:r>
      <w:r/>
    </w:p>
    <w:p>
      <w:pPr>
        <w:jc w:val="left"/>
        <w:spacing w:line="360" w:lineRule="auto"/>
        <w:widowControl w:val="off"/>
        <w:rPr>
          <w:rFonts w:hint="eastAsia" w:ascii="黑体" w:hAnsi="黑体" w:eastAsia="黑体" w:cs="黑体"/>
          <w:b/>
          <w:bCs/>
          <w:color w:val="auto"/>
          <w:sz w:val="21"/>
          <w:szCs w:val="21"/>
          <w:highlight w:val="none"/>
          <w:lang w:val="en-US" w:eastAsia="zh-CN" w:bidi="ar-SA"/>
        </w:rPr>
      </w:pPr>
      <w:r>
        <w:rPr>
          <w:rFonts w:hint="eastAsia" w:ascii="黑体" w:hAnsi="黑体" w:eastAsia="黑体" w:cs="黑体"/>
          <w:b/>
          <w:bCs/>
          <w:color w:val="auto"/>
          <w:sz w:val="21"/>
          <w:szCs w:val="21"/>
          <w:highlight w:val="none"/>
          <w:lang w:val="en-US" w:eastAsia="zh-CN" w:bidi="ar-SA"/>
        </w:rPr>
        <w:t xml:space="preserve">七、低于成本报价</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在评审过程中，评标委员会发现供应商的报价明显低于其他报价，使得其报价可能低于其个别成本的，应当要求该供应商在评审结束前作出书面说明并提供相关证明材料。供应商不能合理说明或者不能提供相关证明材料的，由评标委员会认定该供应商以低于成本报价，其响应文件应作无效响应文件处理。 </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jc w:val="left"/>
        <w:spacing w:line="360" w:lineRule="auto"/>
        <w:widowControl w:val="off"/>
        <w:rPr>
          <w:rFonts w:hint="eastAsia" w:ascii="黑体" w:hAnsi="黑体" w:eastAsia="黑体" w:cs="黑体"/>
          <w:b/>
          <w:bCs/>
          <w:color w:val="auto"/>
          <w:sz w:val="21"/>
          <w:szCs w:val="21"/>
          <w:highlight w:val="none"/>
          <w:lang w:val="en-US" w:eastAsia="zh-CN" w:bidi="ar-SA"/>
        </w:rPr>
      </w:pPr>
      <w:r>
        <w:rPr>
          <w:rFonts w:hint="eastAsia" w:ascii="黑体" w:hAnsi="黑体" w:eastAsia="黑体" w:cs="黑体"/>
          <w:b/>
          <w:bCs/>
          <w:color w:val="auto"/>
          <w:sz w:val="21"/>
          <w:szCs w:val="21"/>
          <w:highlight w:val="none"/>
          <w:lang w:val="en-US" w:eastAsia="zh-CN" w:bidi="ar-SA"/>
        </w:rPr>
        <w:t xml:space="preserve">八、实施要求</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1、采购人提供的资料：</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1.1工程量清单。</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1.2其他与建设工程有关的原始资料由承包人自行勘察收集。</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2、技术标准：现行国家及本省、市的有关标准、规范及其他适用于本工程的最新技术标准、规范。</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3、工程质量保修期：不少于2年。以供应商承诺的保修期限为准。质保期外，工程质量出现问题，中标人应主动提供维修方案，只收取材料费。</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4、施工要求</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4.1 供应商必须遵从徐州市有关部门规定的标准化施工现场要求，控制扬尘污染，符合安全文明施工要求。</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4.2 施工改造不得破坏现有设施设备，否则免费原样恢复，造成重大事故的由施工单位承担相关责任。</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4.3拆除原设施如为保护性拆除，不得随意损坏。否则，造成损坏的要无偿修复或按工程清单中价格赔偿。赔偿款从工程款中扣除。</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5、响应文件要求</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5.1首次响应文件中提供《修复实施方案》。</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5.2《修复实施方案》包括不限于评分细则内容： </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6、情况说明</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6.1根据施工现场实际情况，采购人有权利对部分工程项目进行增减或调整， 供应商必须认可采购人对部分工程项目增减或调整的内容。 </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6.2 供应商应根据本项目实际情况，合理配置人员，除项目经理外，安全员、质检员、施工员、预算员、材料员等人员应经验丰富，确保项目顺利实施。</w:t>
      </w:r>
      <w:r/>
    </w:p>
    <w:p>
      <w:pPr>
        <w:jc w:val="both"/>
        <w:spacing w:line="360" w:lineRule="auto"/>
        <w:rPr>
          <w:rFonts w:hint="eastAsia" w:ascii="黑体" w:hAnsi="黑体" w:eastAsia="黑体" w:cs="黑体"/>
          <w:b/>
          <w:color w:val="auto"/>
          <w:sz w:val="21"/>
          <w:szCs w:val="21"/>
          <w:highlight w:val="none"/>
          <w:lang w:val="en-US" w:eastAsia="zh-CN" w:bidi="ar-SA"/>
        </w:rPr>
      </w:pPr>
      <w:r>
        <w:rPr>
          <w:rFonts w:hint="eastAsia" w:ascii="黑体" w:hAnsi="黑体" w:eastAsia="黑体" w:cs="黑体"/>
          <w:b/>
          <w:color w:val="auto"/>
          <w:sz w:val="21"/>
          <w:szCs w:val="21"/>
          <w:highlight w:val="none"/>
          <w:lang w:val="en-US" w:eastAsia="zh-CN" w:bidi="ar-SA"/>
        </w:rPr>
        <w:t xml:space="preserve">九、其他要求：</w:t>
      </w:r>
      <w:r/>
    </w:p>
    <w:p>
      <w:pPr>
        <w:ind w:firstLine="420"/>
        <w:jc w:val="both"/>
        <w:spacing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见《响应文件相关格式》《拟签订的合同文本》。</w:t>
      </w:r>
      <w:r/>
    </w:p>
    <w:p>
      <w:pPr>
        <w:jc w:val="center"/>
        <w:keepLines w:val="0"/>
        <w:keepNext w:val="0"/>
        <w:spacing w:before="0" w:after="0" w:line="360" w:lineRule="auto"/>
        <w:widowControl w:val="off"/>
        <w:rPr>
          <w:rFonts w:hint="eastAsia" w:ascii="黑体" w:hAnsi="黑体" w:eastAsia="黑体" w:cs="黑体"/>
          <w:b/>
          <w:bCs/>
          <w:color w:val="auto"/>
          <w:sz w:val="28"/>
          <w:szCs w:val="44"/>
          <w:highlight w:val="none"/>
          <w:lang w:val="en-US" w:eastAsia="zh-CN" w:bidi="ar-SA"/>
        </w:rPr>
        <w:outlineLvl w:val="0"/>
      </w:pPr>
      <w:r/>
      <w:bookmarkStart w:id="37" w:name="_Toc80122301"/>
      <w:r>
        <w:rPr>
          <w:rFonts w:hint="eastAsia" w:ascii="黑体" w:hAnsi="黑体" w:eastAsia="黑体" w:cs="黑体"/>
          <w:b/>
          <w:bCs/>
          <w:color w:val="auto"/>
          <w:sz w:val="28"/>
          <w:szCs w:val="21"/>
          <w:highlight w:val="none"/>
          <w:lang w:val="en-US" w:eastAsia="zh-CN" w:bidi="ar-SA"/>
        </w:rPr>
        <w:br w:type="page" w:clear="all"/>
      </w:r>
      <w:bookmarkStart w:id="38" w:name="_Toc25252"/>
      <w:r/>
      <w:bookmarkStart w:id="39" w:name="_Toc19254"/>
      <w:r>
        <w:rPr>
          <w:rFonts w:hint="eastAsia" w:ascii="黑体" w:hAnsi="黑体" w:eastAsia="黑体" w:cs="黑体"/>
          <w:b/>
          <w:bCs/>
          <w:color w:val="auto"/>
          <w:sz w:val="28"/>
          <w:szCs w:val="21"/>
          <w:highlight w:val="none"/>
          <w:lang w:val="en-US" w:eastAsia="zh-CN" w:bidi="ar-SA"/>
        </w:rPr>
        <w:t xml:space="preserve">第九章 响应文件相关格式</w:t>
      </w:r>
      <w:bookmarkEnd w:id="37"/>
      <w:r/>
      <w:bookmarkEnd w:id="38"/>
      <w:r/>
      <w:bookmarkEnd w:id="39"/>
      <w:r/>
      <w:r/>
    </w:p>
    <w:p>
      <w:pPr>
        <w:jc w:val="center"/>
        <w:keepLines w:val="0"/>
        <w:keepNext w:val="0"/>
        <w:spacing w:before="0" w:after="0" w:line="360" w:lineRule="auto"/>
        <w:widowControl w:val="off"/>
        <w:rPr>
          <w:rFonts w:hint="eastAsia" w:ascii="黑体" w:hAnsi="黑体" w:eastAsia="黑体" w:cs="黑体"/>
          <w:b w:val="0"/>
          <w:bCs w:val="0"/>
          <w:color w:val="auto"/>
          <w:sz w:val="24"/>
          <w:szCs w:val="24"/>
          <w:highlight w:val="none"/>
          <w:lang w:val="en-US" w:eastAsia="zh-CN" w:bidi="ar-SA"/>
        </w:rPr>
        <w:outlineLvl w:val="9"/>
      </w:pPr>
      <w:r/>
      <w:bookmarkStart w:id="40" w:name="_Toc7129"/>
      <w:r/>
      <w:bookmarkStart w:id="41" w:name="_Toc8491"/>
      <w:r>
        <w:rPr>
          <w:rFonts w:hint="eastAsia" w:ascii="黑体" w:hAnsi="黑体" w:eastAsia="黑体" w:cs="黑体"/>
          <w:b w:val="0"/>
          <w:bCs w:val="0"/>
          <w:color w:val="auto"/>
          <w:sz w:val="24"/>
          <w:szCs w:val="24"/>
          <w:highlight w:val="none"/>
          <w:lang w:val="en-US" w:eastAsia="zh-CN" w:bidi="ar-SA"/>
        </w:rPr>
        <w:t xml:space="preserve">（本章仅提供响应文件中的部分文件格式，不应被理解为包含了响应文件所需的全部资料）</w:t>
      </w:r>
      <w:bookmarkEnd w:id="40"/>
      <w:r/>
      <w:bookmarkEnd w:id="41"/>
      <w:r/>
      <w:r/>
    </w:p>
    <w:p>
      <w:pPr>
        <w:jc w:val="center"/>
        <w:keepLines w:val="0"/>
        <w:keepNext w:val="0"/>
        <w:spacing w:before="0" w:after="0" w:line="360" w:lineRule="auto"/>
        <w:widowControl w:val="off"/>
        <w:rPr>
          <w:rFonts w:hint="eastAsia" w:ascii="黑体" w:hAnsi="黑体" w:eastAsia="黑体" w:cs="黑体"/>
          <w:b w:val="0"/>
          <w:bCs w:val="0"/>
          <w:color w:val="auto"/>
          <w:sz w:val="28"/>
          <w:szCs w:val="44"/>
          <w:highlight w:val="none"/>
          <w:lang w:val="en-US" w:eastAsia="zh-CN" w:bidi="ar-SA"/>
        </w:rPr>
        <w:outlineLvl w:val="9"/>
      </w:pPr>
      <w:r>
        <w:rPr>
          <w:rFonts w:hint="eastAsia" w:ascii="黑体" w:hAnsi="黑体" w:eastAsia="黑体" w:cs="黑体"/>
          <w:b w:val="0"/>
          <w:bCs w:val="0"/>
          <w:color w:val="auto"/>
          <w:sz w:val="28"/>
          <w:szCs w:val="44"/>
          <w:highlight w:val="none"/>
          <w:lang w:val="en-US" w:eastAsia="zh-CN" w:bidi="ar-SA"/>
        </w:rPr>
      </w:r>
      <w:r/>
    </w:p>
    <w:p>
      <w:pPr>
        <w:ind w:firstLine="1558"/>
        <w:jc w:val="both"/>
        <w:spacing w:line="360" w:lineRule="auto"/>
        <w:widowControl w:val="off"/>
        <w:rPr>
          <w:rFonts w:hint="eastAsia" w:ascii="黑体" w:hAnsi="黑体" w:eastAsia="黑体" w:cs="黑体"/>
          <w:bCs/>
          <w:color w:val="auto"/>
          <w:sz w:val="21"/>
          <w:szCs w:val="21"/>
          <w:highlight w:val="none"/>
          <w:lang w:val="en-US" w:eastAsia="zh-CN" w:bidi="ar-SA"/>
        </w:rPr>
      </w:pPr>
      <w:r>
        <w:rPr>
          <w:rFonts w:hint="eastAsia" w:ascii="黑体" w:hAnsi="黑体" w:eastAsia="黑体" w:cs="黑体"/>
          <w:bCs/>
          <w:color w:val="auto"/>
          <w:sz w:val="21"/>
          <w:szCs w:val="21"/>
          <w:highlight w:val="none"/>
          <w:lang w:val="en-US" w:eastAsia="zh-CN" w:bidi="ar-SA"/>
        </w:rPr>
        <w:t xml:space="preserve">一、承诺书</w:t>
      </w:r>
      <w:r/>
    </w:p>
    <w:p>
      <w:pPr>
        <w:ind w:firstLine="1558"/>
        <w:jc w:val="both"/>
        <w:spacing w:line="360" w:lineRule="auto"/>
        <w:widowControl w:val="off"/>
        <w:rPr>
          <w:rFonts w:hint="eastAsia" w:ascii="黑体" w:hAnsi="黑体" w:eastAsia="黑体" w:cs="黑体"/>
          <w:bCs/>
          <w:color w:val="auto"/>
          <w:sz w:val="21"/>
          <w:szCs w:val="21"/>
          <w:highlight w:val="none"/>
          <w:lang w:val="en-US" w:eastAsia="zh-CN" w:bidi="ar-SA"/>
        </w:rPr>
      </w:pPr>
      <w:r>
        <w:rPr>
          <w:rFonts w:hint="eastAsia" w:ascii="黑体" w:hAnsi="黑体" w:eastAsia="黑体" w:cs="黑体"/>
          <w:bCs/>
          <w:color w:val="auto"/>
          <w:sz w:val="21"/>
          <w:szCs w:val="21"/>
          <w:highlight w:val="none"/>
          <w:lang w:val="en-US" w:eastAsia="zh-CN" w:bidi="ar-SA"/>
        </w:rPr>
        <w:t xml:space="preserve">二、磋商报价表</w:t>
      </w:r>
      <w:r/>
    </w:p>
    <w:p>
      <w:pPr>
        <w:ind w:firstLine="1558"/>
        <w:jc w:val="both"/>
        <w:spacing w:line="360" w:lineRule="auto"/>
        <w:widowControl w:val="off"/>
        <w:tabs>
          <w:tab w:val="left" w:pos="2100" w:leader="none"/>
        </w:tabs>
        <w:rPr>
          <w:rFonts w:hint="eastAsia" w:ascii="黑体" w:hAnsi="黑体" w:eastAsia="黑体" w:cs="黑体"/>
          <w:bCs/>
          <w:color w:val="auto"/>
          <w:sz w:val="21"/>
          <w:szCs w:val="21"/>
          <w:highlight w:val="none"/>
          <w:lang w:val="en-US" w:eastAsia="zh-CN" w:bidi="ar-SA"/>
        </w:rPr>
      </w:pPr>
      <w:r>
        <w:rPr>
          <w:rFonts w:hint="eastAsia" w:ascii="黑体" w:hAnsi="黑体" w:eastAsia="黑体" w:cs="黑体"/>
          <w:bCs/>
          <w:color w:val="auto"/>
          <w:sz w:val="21"/>
          <w:szCs w:val="21"/>
          <w:highlight w:val="none"/>
          <w:lang w:val="en-US" w:eastAsia="zh-CN" w:bidi="ar-SA"/>
        </w:rPr>
        <w:t xml:space="preserve">三、投标承诺书</w:t>
      </w:r>
      <w:r/>
    </w:p>
    <w:p>
      <w:pPr>
        <w:ind w:firstLine="1558"/>
        <w:jc w:val="both"/>
        <w:spacing w:line="360" w:lineRule="auto"/>
        <w:widowControl w:val="off"/>
        <w:rPr>
          <w:rFonts w:hint="eastAsia" w:ascii="黑体" w:hAnsi="黑体" w:eastAsia="黑体" w:cs="黑体"/>
          <w:bCs/>
          <w:color w:val="auto"/>
          <w:sz w:val="21"/>
          <w:szCs w:val="21"/>
          <w:highlight w:val="none"/>
          <w:lang w:val="en-US" w:eastAsia="zh-CN" w:bidi="ar-SA"/>
        </w:rPr>
      </w:pPr>
      <w:r>
        <w:rPr>
          <w:rFonts w:hint="eastAsia" w:ascii="黑体" w:hAnsi="黑体" w:eastAsia="黑体" w:cs="黑体"/>
          <w:bCs/>
          <w:color w:val="auto"/>
          <w:sz w:val="21"/>
          <w:szCs w:val="21"/>
          <w:highlight w:val="none"/>
          <w:lang w:val="en-US" w:eastAsia="zh-CN" w:bidi="ar-SA"/>
        </w:rPr>
        <w:t xml:space="preserve">四、偏离表</w:t>
      </w:r>
      <w:r/>
    </w:p>
    <w:p>
      <w:pPr>
        <w:ind w:firstLine="1558"/>
        <w:jc w:val="both"/>
        <w:spacing w:line="360" w:lineRule="auto"/>
        <w:widowControl w:val="off"/>
        <w:rPr>
          <w:rFonts w:hint="eastAsia" w:ascii="黑体" w:hAnsi="黑体" w:eastAsia="黑体" w:cs="黑体"/>
          <w:bCs/>
          <w:color w:val="auto"/>
          <w:sz w:val="21"/>
          <w:szCs w:val="21"/>
          <w:highlight w:val="none"/>
          <w:lang w:val="en-US" w:eastAsia="zh-CN" w:bidi="ar-SA"/>
        </w:rPr>
      </w:pPr>
      <w:r>
        <w:rPr>
          <w:rFonts w:hint="eastAsia" w:ascii="黑体" w:hAnsi="黑体" w:eastAsia="黑体" w:cs="黑体"/>
          <w:bCs/>
          <w:color w:val="auto"/>
          <w:sz w:val="21"/>
          <w:szCs w:val="21"/>
          <w:highlight w:val="none"/>
          <w:lang w:val="en-US" w:eastAsia="zh-CN" w:bidi="ar-SA"/>
        </w:rPr>
        <w:t xml:space="preserve">五、授权委托书</w:t>
      </w:r>
      <w:r/>
    </w:p>
    <w:p>
      <w:pPr>
        <w:ind w:firstLine="1558"/>
        <w:jc w:val="both"/>
        <w:spacing w:line="360" w:lineRule="auto"/>
        <w:widowControl w:val="off"/>
        <w:rPr>
          <w:rFonts w:hint="eastAsia" w:ascii="黑体" w:hAnsi="黑体" w:eastAsia="黑体" w:cs="黑体"/>
          <w:bCs/>
          <w:color w:val="auto"/>
          <w:sz w:val="21"/>
          <w:szCs w:val="21"/>
          <w:highlight w:val="none"/>
          <w:lang w:val="en-US" w:eastAsia="zh-CN" w:bidi="ar-SA"/>
        </w:rPr>
      </w:pPr>
      <w:r>
        <w:rPr>
          <w:rFonts w:hint="eastAsia" w:ascii="黑体" w:hAnsi="黑体" w:eastAsia="黑体" w:cs="黑体"/>
          <w:bCs/>
          <w:color w:val="auto"/>
          <w:sz w:val="21"/>
          <w:szCs w:val="21"/>
          <w:highlight w:val="none"/>
          <w:lang w:val="en-US" w:eastAsia="zh-CN" w:bidi="ar-SA"/>
        </w:rPr>
        <w:t xml:space="preserve">六、中小企业声明函</w:t>
      </w:r>
      <w:r/>
    </w:p>
    <w:p>
      <w:pPr>
        <w:ind w:firstLine="1558"/>
        <w:jc w:val="both"/>
        <w:spacing w:line="360" w:lineRule="auto"/>
        <w:widowControl w:val="off"/>
        <w:rPr>
          <w:rFonts w:hint="eastAsia" w:ascii="黑体" w:hAnsi="黑体" w:eastAsia="黑体" w:cs="黑体"/>
          <w:bCs/>
          <w:color w:val="auto"/>
          <w:sz w:val="21"/>
          <w:szCs w:val="21"/>
          <w:highlight w:val="none"/>
          <w:lang w:val="en-US" w:eastAsia="zh-CN" w:bidi="ar-SA"/>
        </w:rPr>
      </w:pPr>
      <w:r>
        <w:rPr>
          <w:rFonts w:hint="eastAsia" w:ascii="黑体" w:hAnsi="黑体" w:eastAsia="黑体" w:cs="黑体"/>
          <w:bCs/>
          <w:color w:val="auto"/>
          <w:sz w:val="21"/>
          <w:szCs w:val="21"/>
          <w:highlight w:val="none"/>
          <w:lang w:val="en-US" w:eastAsia="zh-CN" w:bidi="ar-SA"/>
        </w:rPr>
        <w:t xml:space="preserve">七、残疾人福利性单位声明函</w:t>
      </w:r>
      <w:r/>
    </w:p>
    <w:p>
      <w:pPr>
        <w:ind w:firstLine="1558"/>
        <w:jc w:val="both"/>
        <w:spacing w:line="360" w:lineRule="auto"/>
        <w:widowControl w:val="off"/>
        <w:rPr>
          <w:rFonts w:hint="eastAsia" w:ascii="黑体" w:hAnsi="黑体" w:eastAsia="黑体" w:cs="黑体"/>
          <w:bCs/>
          <w:color w:val="auto"/>
          <w:sz w:val="21"/>
          <w:szCs w:val="21"/>
          <w:highlight w:val="none"/>
          <w:lang w:val="en-US" w:eastAsia="zh-CN" w:bidi="ar-SA"/>
        </w:rPr>
      </w:pPr>
      <w:r>
        <w:rPr>
          <w:rFonts w:hint="eastAsia" w:ascii="黑体" w:hAnsi="黑体" w:eastAsia="黑体" w:cs="黑体"/>
          <w:bCs/>
          <w:color w:val="auto"/>
          <w:sz w:val="21"/>
          <w:szCs w:val="21"/>
          <w:highlight w:val="none"/>
          <w:lang w:val="en-US" w:eastAsia="zh-CN" w:bidi="ar-SA"/>
        </w:rPr>
        <w:t xml:space="preserve">八、供应商参加政府采购活动前三年内在经营活动中没有重大违法记录的书面声明</w:t>
      </w:r>
      <w:r/>
    </w:p>
    <w:p>
      <w:pPr>
        <w:ind w:firstLine="1558"/>
        <w:jc w:val="both"/>
        <w:spacing w:line="360" w:lineRule="auto"/>
        <w:widowControl w:val="off"/>
        <w:rPr>
          <w:rFonts w:hint="eastAsia" w:ascii="黑体" w:hAnsi="黑体" w:eastAsia="黑体" w:cs="黑体"/>
          <w:bCs/>
          <w:color w:val="auto"/>
          <w:sz w:val="21"/>
          <w:szCs w:val="21"/>
          <w:highlight w:val="none"/>
          <w:lang w:val="en-US" w:eastAsia="zh-CN" w:bidi="ar-SA"/>
        </w:rPr>
      </w:pPr>
      <w:r>
        <w:rPr>
          <w:rFonts w:hint="eastAsia" w:ascii="黑体" w:hAnsi="黑体" w:eastAsia="黑体" w:cs="黑体"/>
          <w:bCs/>
          <w:color w:val="auto"/>
          <w:sz w:val="21"/>
          <w:szCs w:val="21"/>
          <w:highlight w:val="none"/>
          <w:lang w:val="en-US" w:eastAsia="zh-CN" w:bidi="ar-SA"/>
        </w:rPr>
        <w:t xml:space="preserve">九、具备履行合同所必需的设备和专业技术能力的书面声明</w:t>
      </w:r>
      <w:r/>
    </w:p>
    <w:p>
      <w:pPr>
        <w:ind w:firstLine="1558"/>
        <w:jc w:val="both"/>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十、响应文件编制要求提供的其他资料</w:t>
      </w:r>
      <w:r/>
    </w:p>
    <w:p>
      <w:pPr>
        <w:ind w:left="0" w:right="0" w:firstLine="1558"/>
        <w:jc w:val="both"/>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十一、预付款保函支付条款模板</w:t>
      </w:r>
      <w:r/>
    </w:p>
    <w:p>
      <w:pPr>
        <w:jc w:val="center"/>
        <w:spacing w:line="360" w:lineRule="auto"/>
        <w:widowControl w:val="off"/>
        <w:rPr>
          <w:rFonts w:hint="eastAsia" w:ascii="黑体" w:hAnsi="黑体" w:eastAsia="黑体" w:cs="黑体"/>
          <w:bCs/>
          <w:color w:val="auto"/>
          <w:sz w:val="28"/>
          <w:highlight w:val="none"/>
          <w:lang w:val="en-US" w:eastAsia="zh-CN" w:bidi="ar-SA"/>
        </w:rPr>
      </w:pPr>
      <w:r>
        <w:rPr>
          <w:rFonts w:hint="eastAsia" w:ascii="黑体" w:hAnsi="黑体" w:eastAsia="黑体" w:cs="黑体"/>
          <w:bCs/>
          <w:color w:val="auto"/>
          <w:sz w:val="28"/>
          <w:highlight w:val="none"/>
          <w:lang w:val="en-US" w:eastAsia="zh-CN" w:bidi="ar-SA"/>
        </w:rPr>
      </w:r>
      <w:r/>
    </w:p>
    <w:p>
      <w:pPr>
        <w:jc w:val="center"/>
        <w:keepLines w:val="0"/>
        <w:keepNext w:val="0"/>
        <w:spacing w:before="260" w:after="260" w:line="360" w:lineRule="auto"/>
        <w:widowControl w:val="off"/>
        <w:rPr>
          <w:rFonts w:hint="eastAsia" w:ascii="黑体" w:hAnsi="黑体" w:eastAsia="黑体" w:cs="黑体"/>
          <w:b/>
          <w:bCs/>
          <w:color w:val="auto"/>
          <w:sz w:val="32"/>
          <w:szCs w:val="32"/>
          <w:highlight w:val="none"/>
          <w:lang w:val="en-US" w:eastAsia="zh-CN" w:bidi="ar-SA"/>
        </w:rPr>
        <w:outlineLvl w:val="1"/>
      </w:pPr>
      <w:r>
        <w:rPr>
          <w:rFonts w:hint="eastAsia" w:ascii="黑体" w:hAnsi="黑体" w:eastAsia="黑体" w:cs="黑体"/>
          <w:b/>
          <w:bCs/>
          <w:color w:val="auto"/>
          <w:sz w:val="28"/>
          <w:szCs w:val="21"/>
          <w:highlight w:val="none"/>
          <w:lang w:val="en-US" w:eastAsia="zh-CN" w:bidi="ar-SA"/>
        </w:rPr>
        <w:br w:type="page" w:clear="all"/>
      </w:r>
      <w:bookmarkStart w:id="42" w:name="_Toc6721"/>
      <w:r/>
      <w:bookmarkStart w:id="43" w:name="_Toc80122302"/>
      <w:r/>
      <w:bookmarkStart w:id="44" w:name="_Toc19266"/>
      <w:r>
        <w:rPr>
          <w:rFonts w:hint="eastAsia" w:ascii="黑体" w:hAnsi="黑体" w:eastAsia="黑体" w:cs="黑体"/>
          <w:b/>
          <w:bCs/>
          <w:color w:val="auto"/>
          <w:sz w:val="28"/>
          <w:szCs w:val="21"/>
          <w:highlight w:val="none"/>
          <w:lang w:val="en-US" w:eastAsia="zh-CN" w:bidi="ar-SA"/>
        </w:rPr>
        <w:t xml:space="preserve">一、承诺书</w:t>
      </w:r>
      <w:bookmarkEnd w:id="42"/>
      <w:r/>
      <w:bookmarkEnd w:id="43"/>
      <w:r/>
      <w:bookmarkEnd w:id="44"/>
      <w:r/>
      <w:r/>
    </w:p>
    <w:p>
      <w:pPr>
        <w:jc w:val="left"/>
        <w:spacing w:line="276" w:lineRule="auto"/>
        <w:shd w:val="clear" w:color="ffffff" w:fill="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致</w:t>
      </w:r>
      <w:r>
        <w:rPr>
          <w:rFonts w:hint="eastAsia" w:ascii="黑体" w:hAnsi="黑体" w:eastAsia="黑体" w:cs="黑体"/>
          <w:color w:val="auto"/>
          <w:sz w:val="24"/>
          <w:szCs w:val="21"/>
          <w:highlight w:val="none"/>
          <w:u w:val="single"/>
          <w:lang w:val="en-US" w:eastAsia="zh-CN" w:bidi="ar-SA"/>
        </w:rPr>
        <w:t xml:space="preserve">中经国际招标集团有限公司</w:t>
      </w:r>
      <w:r>
        <w:rPr>
          <w:rFonts w:hint="eastAsia" w:ascii="黑体" w:hAnsi="黑体" w:eastAsia="黑体" w:cs="黑体"/>
          <w:color w:val="auto"/>
          <w:sz w:val="24"/>
          <w:szCs w:val="21"/>
          <w:highlight w:val="none"/>
          <w:lang w:val="en-US" w:eastAsia="zh-CN" w:bidi="ar-SA"/>
        </w:rPr>
        <w:t xml:space="preserve">：</w:t>
      </w:r>
      <w:r/>
    </w:p>
    <w:p>
      <w:pPr>
        <w:ind w:left="0" w:right="0" w:firstLine="480"/>
        <w:jc w:val="both"/>
        <w:spacing w:before="0" w:after="0" w:line="276" w:lineRule="auto"/>
        <w:shd w:val="clear" w:color="ffffff" w:fill="auto"/>
        <w:widowControl/>
        <w:rPr>
          <w:rFonts w:hint="eastAsia" w:ascii="黑体" w:hAnsi="黑体" w:eastAsia="黑体" w:cs="黑体"/>
          <w:color w:val="auto"/>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szCs w:val="21"/>
          <w:highlight w:val="none"/>
        </w:rPr>
        <w:t xml:space="preserve">根据贵方《磋商文件》（项目编号：</w:t>
      </w:r>
      <w:r>
        <w:rPr>
          <w:rFonts w:hint="eastAsia" w:ascii="黑体" w:hAnsi="黑体" w:eastAsia="黑体" w:cs="黑体"/>
          <w:color w:val="auto"/>
          <w:sz w:val="24"/>
          <w:szCs w:val="21"/>
          <w:highlight w:val="none"/>
          <w:lang w:eastAsia="zh-CN"/>
        </w:rPr>
        <w:t xml:space="preserve">JSZC-320300-ZBZJ-C2026-0001</w:t>
      </w:r>
      <w:r>
        <w:rPr>
          <w:rFonts w:hint="eastAsia" w:ascii="黑体" w:hAnsi="黑体" w:eastAsia="黑体" w:cs="黑体"/>
          <w:color w:val="auto"/>
          <w:sz w:val="24"/>
          <w:szCs w:val="21"/>
          <w:highlight w:val="none"/>
        </w:rPr>
        <w:t xml:space="preserve">）要求，本供应商正式提交以下首次响应文件。</w:t>
      </w:r>
      <w:r/>
    </w:p>
    <w:p>
      <w:pPr>
        <w:ind w:firstLine="480"/>
        <w:jc w:val="left"/>
        <w:spacing w:line="276" w:lineRule="auto"/>
        <w:shd w:val="clear" w:color="ffffff" w:fill="auto"/>
        <w:widowControl w:val="off"/>
        <w:tabs>
          <w:tab w:val="right" w:pos="4153" w:leader="none"/>
          <w:tab w:val="left" w:pos="8306" w:leader="underscore"/>
        </w:tabs>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8" name="直接连接符 9"/>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miter/>
                        </a:ln>
                        <a:effectLst/>
                      </wps:spPr>
                      <wps:bodyPr rot="0">
                        <a:prstTxWarp prst="textNoShape">
                          <a:avLst/>
                        </a:prstTxWarp>
                        <a:noAutofit/>
                      </wps:bodyPr>
                    </wps:wsp>
                  </a:graphicData>
                </a:graphic>
              </wp:anchor>
            </w:drawing>
          </mc:Choice>
          <mc:Fallback>
            <w:pict>
              <v:line id="shape 7" o:spid="_x0000_s7" style="position:absolute;left:0;text-align:left;z-index:251659264;mso-wrap-distance-left:9.0pt;mso-wrap-distance-top:0.0pt;mso-wrap-distance-right:9.0pt;mso-wrap-distance-bottom:0.0pt;flip:y;visibility:visible;" from="147.0pt,1.3pt" to="147.1pt,2.6pt" fillcolor="#FFFFFF" strokecolor="#000000"/>
            </w:pict>
          </mc:Fallback>
        </mc:AlternateContent>
      </w:r>
      <w:r>
        <w:rPr>
          <w:rFonts w:hint="eastAsia" w:ascii="黑体" w:hAnsi="黑体" w:eastAsia="黑体" w:cs="黑体"/>
          <w:color w:val="auto"/>
          <w:sz w:val="24"/>
          <w:szCs w:val="21"/>
          <w:highlight w:val="none"/>
          <w:lang w:val="en-US" w:eastAsia="zh-CN" w:bidi="ar-SA"/>
        </w:rPr>
        <w:t xml:space="preserve">（1）承诺书； </w:t>
      </w:r>
      <w:r/>
    </w:p>
    <w:p>
      <w:pPr>
        <w:ind w:firstLine="480"/>
        <w:jc w:val="left"/>
        <w:spacing w:line="276" w:lineRule="auto"/>
        <w:shd w:val="clear" w:color="ffffff" w:fill="auto"/>
        <w:widowControl w:val="off"/>
        <w:tabs>
          <w:tab w:val="right" w:pos="4153" w:leader="none"/>
          <w:tab w:val="left" w:pos="8306" w:leader="underscore"/>
        </w:tabs>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（2）磋商报价表； </w:t>
      </w:r>
      <w:r/>
    </w:p>
    <w:p>
      <w:pPr>
        <w:ind w:firstLine="480"/>
        <w:jc w:val="left"/>
        <w:spacing w:line="276" w:lineRule="auto"/>
        <w:shd w:val="clear" w:color="ffffff" w:fill="auto"/>
        <w:widowControl w:val="off"/>
        <w:tabs>
          <w:tab w:val="right" w:pos="4153" w:leader="none"/>
          <w:tab w:val="left" w:pos="8306" w:leader="underscore"/>
        </w:tabs>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（3）偏离表；</w:t>
      </w:r>
      <w:r/>
    </w:p>
    <w:p>
      <w:pPr>
        <w:ind w:firstLine="480"/>
        <w:jc w:val="left"/>
        <w:spacing w:line="276" w:lineRule="auto"/>
        <w:shd w:val="clear" w:color="ffffff" w:fill="auto"/>
        <w:widowControl w:val="off"/>
        <w:tabs>
          <w:tab w:val="right" w:pos="4153" w:leader="none"/>
          <w:tab w:val="left" w:pos="8306" w:leader="underscore"/>
        </w:tabs>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（4）磋商文件要求提供的其他响应文件。</w:t>
      </w:r>
      <w:r/>
    </w:p>
    <w:p>
      <w:pPr>
        <w:ind w:firstLine="480"/>
        <w:jc w:val="left"/>
        <w:spacing w:line="276" w:lineRule="auto"/>
        <w:shd w:val="clear" w:color="ffffff" w:fill="auto"/>
        <w:widowControl w:val="off"/>
        <w:tabs>
          <w:tab w:val="right" w:pos="4153" w:leader="none"/>
          <w:tab w:val="left" w:pos="8306" w:leader="underscore"/>
        </w:tabs>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我单位符合《中华人民共和国政府采购法》第二十二条的规定，符合本项目供应商资格要求。</w:t>
      </w:r>
      <w:r/>
    </w:p>
    <w:p>
      <w:pPr>
        <w:ind w:firstLine="480"/>
        <w:jc w:val="left"/>
        <w:spacing w:line="276" w:lineRule="auto"/>
        <w:shd w:val="clear" w:color="ffffff" w:fill="auto"/>
        <w:widowControl w:val="off"/>
        <w:tabs>
          <w:tab w:val="right" w:pos="4153" w:leader="none"/>
          <w:tab w:val="left" w:pos="8306" w:leader="underscore"/>
        </w:tabs>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我单位按照磋商文件的要求编制响应文件，并对其提交的响应文件的真实性、合法性承担法律责任。</w:t>
      </w:r>
      <w:r/>
    </w:p>
    <w:p>
      <w:pPr>
        <w:ind w:firstLine="480"/>
        <w:jc w:val="left"/>
        <w:spacing w:line="276" w:lineRule="auto"/>
        <w:shd w:val="clear" w:color="ffffff" w:fill="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供应商兹宣布同意如下: </w:t>
      </w:r>
      <w:r/>
    </w:p>
    <w:p>
      <w:pPr>
        <w:ind w:firstLine="480"/>
        <w:jc w:val="left"/>
        <w:spacing w:line="276" w:lineRule="auto"/>
        <w:shd w:val="clear" w:color="ffffff" w:fill="auto"/>
        <w:widowControl w:val="off"/>
        <w:tabs>
          <w:tab w:val="right" w:pos="4153" w:leader="none"/>
          <w:tab w:val="left" w:pos="8306" w:leader="underscore"/>
        </w:tabs>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9"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a:effectLst/>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visibility:visible;" from="246.8pt,23.4pt" to="246.8pt,23.4pt" fillcolor="#FFFFFF" strokecolor="#000000"/>
            </w:pict>
          </mc:Fallback>
        </mc:AlternateContent>
      </w:r>
      <w:r>
        <w:rPr>
          <w:rFonts w:hint="eastAsia" w:ascii="黑体" w:hAnsi="黑体" w:eastAsia="黑体" w:cs="黑体"/>
          <w:color w:val="auto"/>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10"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a:effectLst/>
                      </wps:spPr>
                      <wps:bodyPr rot="0">
                        <a:prstTxWarp prst="textNoShape">
                          <a:avLst/>
                        </a:prstTxWarp>
                        <a:noAutofit/>
                      </wps:bodyPr>
                    </wps:wsp>
                  </a:graphicData>
                </a:graphic>
              </wp:anchor>
            </w:drawing>
          </mc:Choice>
          <mc:Fallback>
            <w:pict>
              <v:line id="shape 9" o:spid="_x0000_s9" style="position:absolute;left:0;text-align:left;z-index:251661312;mso-wrap-distance-left:9.0pt;mso-wrap-distance-top:0.0pt;mso-wrap-distance-right:9.0pt;mso-wrap-distance-bottom:0.0pt;visibility:visible;" from="220.5pt,46.8pt" to="220.6pt,46.8pt" fillcolor="#FFFFFF" strokecolor="#000000"/>
            </w:pict>
          </mc:Fallback>
        </mc:AlternateContent>
      </w:r>
      <w:r>
        <w:rPr>
          <w:rFonts w:hint="eastAsia" w:ascii="黑体" w:hAnsi="黑体" w:eastAsia="黑体" w:cs="黑体"/>
          <w:color w:val="auto"/>
          <w:sz w:val="24"/>
          <w:szCs w:val="21"/>
          <w:highlight w:val="none"/>
          <w:lang w:val="en-US" w:eastAsia="zh-CN" w:bidi="ar-SA"/>
        </w:rPr>
        <w:t xml:space="preserve">一、完全承担根据《磋商文件》规定完成合同的责任和义务（如有偏离，将全部填写在偏离表中）。</w:t>
      </w:r>
      <w:r/>
    </w:p>
    <w:p>
      <w:pPr>
        <w:ind w:firstLine="480"/>
        <w:jc w:val="left"/>
        <w:spacing w:line="276" w:lineRule="auto"/>
        <w:shd w:val="clear" w:color="ffffff" w:fill="auto"/>
        <w:widowControl w:val="off"/>
        <w:tabs>
          <w:tab w:val="right" w:pos="4153" w:leader="none"/>
          <w:tab w:val="left" w:pos="8306" w:leader="underscore"/>
        </w:tabs>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1"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a:effectLst/>
                      </wps:spPr>
                      <wps:bodyPr rot="0">
                        <a:prstTxWarp prst="textNoShape">
                          <a:avLst/>
                        </a:prstTxWarp>
                        <a:noAutofit/>
                      </wps:bodyPr>
                    </wps:wsp>
                  </a:graphicData>
                </a:graphic>
              </wp:anchor>
            </w:drawing>
          </mc:Choice>
          <mc:Fallback>
            <w:pict>
              <v:line id="shape 10" o:spid="_x0000_s10"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hint="eastAsia" w:ascii="黑体" w:hAnsi="黑体" w:eastAsia="黑体" w:cs="黑体"/>
          <w:color w:val="auto"/>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2" name="直接连接符 1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a:effectLst/>
                      </wps:spPr>
                      <wps:bodyPr rot="0">
                        <a:prstTxWarp prst="textNoShape">
                          <a:avLst/>
                        </a:prstTxWarp>
                        <a:noAutofit/>
                      </wps:bodyPr>
                    </wps:wsp>
                  </a:graphicData>
                </a:graphic>
              </wp:anchor>
            </w:drawing>
          </mc:Choice>
          <mc:Fallback>
            <w:pict>
              <v:line id="shape 11" o:spid="_x0000_s11"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黑体" w:hAnsi="黑体" w:eastAsia="黑体" w:cs="黑体"/>
          <w:color w:val="auto"/>
          <w:sz w:val="24"/>
          <w:szCs w:val="21"/>
          <w:highlight w:val="none"/>
          <w:lang w:val="en-US" w:eastAsia="zh-CN" w:bidi="ar-SA"/>
        </w:rPr>
        <w:t xml:space="preserve">二、保证所提供的响应文件及所有材料的真实、合法、有效，并对其负责。</w:t>
      </w:r>
      <w:r/>
    </w:p>
    <w:p>
      <w:pPr>
        <w:ind w:firstLine="480"/>
        <w:jc w:val="left"/>
        <w:spacing w:line="276" w:lineRule="auto"/>
        <w:shd w:val="clear" w:color="ffffff" w:fill="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三、已详细审核竞争性磋商文件（含竞争性磋商文件的澄清或者修改），本供应商完全理解并同意放弃对这方面不明及误解的权利。</w:t>
      </w:r>
      <w:r/>
    </w:p>
    <w:p>
      <w:pPr>
        <w:ind w:firstLine="480"/>
        <w:jc w:val="left"/>
        <w:spacing w:line="276" w:lineRule="auto"/>
        <w:shd w:val="clear" w:color="ffffff" w:fill="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四、所供货物保证符合国家有关产品质量、性能和安全标准，无权利瑕疵。</w:t>
      </w:r>
      <w:r/>
    </w:p>
    <w:p>
      <w:pPr>
        <w:ind w:firstLine="480"/>
        <w:jc w:val="left"/>
        <w:spacing w:line="276" w:lineRule="auto"/>
        <w:shd w:val="clear" w:color="ffffff" w:fill="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五、报价有效期为30个工作日。</w:t>
      </w:r>
      <w:r/>
    </w:p>
    <w:p>
      <w:pPr>
        <w:ind w:firstLine="480"/>
        <w:jc w:val="left"/>
        <w:spacing w:line="276" w:lineRule="auto"/>
        <w:shd w:val="clear" w:color="ffffff" w:fill="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六、同意向贵方提供贵方可能要求的与本次磋商采购有关的任何证据或资料。</w:t>
      </w:r>
      <w:r/>
    </w:p>
    <w:p>
      <w:pPr>
        <w:ind w:firstLine="480"/>
        <w:jc w:val="left"/>
        <w:spacing w:line="276" w:lineRule="auto"/>
        <w:shd w:val="clear" w:color="ffffff" w:fill="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七、完全理解贵方不一定要接受最低的报价或收到的任何报价。</w:t>
      </w:r>
      <w:r/>
    </w:p>
    <w:p>
      <w:pPr>
        <w:ind w:firstLine="480"/>
        <w:jc w:val="left"/>
        <w:spacing w:line="276" w:lineRule="auto"/>
        <w:shd w:val="clear" w:color="ffffff" w:fill="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八、中经国际招标集团有限公司有权将我单位本项目的《磋商报价表》和《分项价格表》予以公示，公示的方式由中经国际招标集团有限公司确定。</w:t>
      </w:r>
      <w:r/>
    </w:p>
    <w:p>
      <w:pPr>
        <w:ind w:firstLine="480"/>
        <w:jc w:val="left"/>
        <w:spacing w:line="276" w:lineRule="auto"/>
        <w:shd w:val="clear" w:color="ffffff" w:fill="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九、采购人有权对供应商的响应文件的真实性</w:t>
      </w:r>
      <w:r>
        <w:rPr>
          <w:rFonts w:hint="eastAsia" w:ascii="黑体" w:hAnsi="黑体" w:eastAsia="黑体" w:cs="黑体"/>
          <w:bCs/>
          <w:color w:val="auto"/>
          <w:sz w:val="24"/>
          <w:szCs w:val="21"/>
          <w:highlight w:val="none"/>
          <w:lang w:val="en-US" w:eastAsia="zh-CN" w:bidi="ar-SA"/>
        </w:rPr>
        <w:t xml:space="preserve">进行核实，签订合同前，成交供应商必须向采购人提交其响应文件中所有扫描件的原件，采购人核查无误后，签订合同。如成交供应商不能在采购人规定的时间内向采购人提供原件，将被采购人视为放弃成交资格</w:t>
      </w:r>
      <w:r>
        <w:rPr>
          <w:rFonts w:hint="eastAsia" w:ascii="黑体" w:hAnsi="黑体" w:eastAsia="黑体" w:cs="黑体"/>
          <w:color w:val="auto"/>
          <w:sz w:val="24"/>
          <w:szCs w:val="21"/>
          <w:highlight w:val="none"/>
          <w:lang w:val="en-US" w:eastAsia="zh-CN" w:bidi="ar-SA"/>
        </w:rPr>
        <w:t xml:space="preserve">。</w:t>
      </w:r>
      <w:r/>
    </w:p>
    <w:p>
      <w:pPr>
        <w:ind w:firstLine="480"/>
        <w:jc w:val="left"/>
        <w:spacing w:line="276" w:lineRule="auto"/>
        <w:shd w:val="clear" w:color="ffffff" w:fill="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十、供应商同意按照磋商文件的有关规定支付相关代理服务费。 </w:t>
      </w:r>
      <w:r/>
    </w:p>
    <w:p>
      <w:pPr>
        <w:ind w:firstLine="3960"/>
        <w:jc w:val="left"/>
        <w:spacing w:line="276" w:lineRule="auto"/>
        <w:shd w:val="clear" w:color="ffffff" w:fill="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p>
      <w:pPr>
        <w:ind w:firstLine="3960"/>
        <w:jc w:val="left"/>
        <w:spacing w:line="276" w:lineRule="auto"/>
        <w:shd w:val="clear" w:color="ffffff" w:fill="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p>
      <w:pPr>
        <w:ind w:firstLine="3960"/>
        <w:jc w:val="left"/>
        <w:spacing w:line="276" w:lineRule="auto"/>
        <w:shd w:val="clear" w:color="ffffff" w:fill="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供应商（</w:t>
      </w:r>
      <w:r>
        <w:rPr>
          <w:rFonts w:hint="eastAsia" w:ascii="黑体" w:hAnsi="黑体" w:eastAsia="黑体" w:cs="黑体"/>
          <w:color w:val="auto"/>
          <w:sz w:val="24"/>
          <w:szCs w:val="24"/>
          <w:highlight w:val="none"/>
          <w:lang w:val="en-US" w:eastAsia="zh-CN" w:bidi="ar-SA"/>
        </w:rPr>
        <w:t xml:space="preserve">电子签章</w:t>
      </w:r>
      <w:r>
        <w:rPr>
          <w:rFonts w:hint="eastAsia" w:ascii="黑体" w:hAnsi="黑体" w:eastAsia="黑体" w:cs="黑体"/>
          <w:color w:val="auto"/>
          <w:sz w:val="24"/>
          <w:szCs w:val="21"/>
          <w:highlight w:val="none"/>
          <w:lang w:val="en-US" w:eastAsia="zh-CN" w:bidi="ar-SA"/>
        </w:rPr>
        <w:t xml:space="preserve">）：</w:t>
      </w:r>
      <w:r/>
    </w:p>
    <w:p>
      <w:pPr>
        <w:ind w:firstLine="3960"/>
        <w:jc w:val="left"/>
        <w:spacing w:line="276" w:lineRule="auto"/>
        <w:shd w:val="clear" w:color="ffffff" w:fill="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联系电话：</w:t>
      </w:r>
      <w:r/>
    </w:p>
    <w:p>
      <w:pPr>
        <w:ind w:firstLine="3960"/>
        <w:jc w:val="left"/>
        <w:spacing w:line="276" w:lineRule="auto"/>
        <w:shd w:val="clear" w:color="ffffff" w:fill="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日期：</w:t>
      </w:r>
      <w:r/>
    </w:p>
    <w:p>
      <w:pPr>
        <w:jc w:val="center"/>
        <w:spacing w:line="360" w:lineRule="auto"/>
        <w:widowControl w:val="off"/>
        <w:rPr>
          <w:rFonts w:hint="eastAsia" w:ascii="黑体" w:hAnsi="黑体" w:eastAsia="黑体" w:cs="黑体"/>
          <w:b/>
          <w:bCs/>
          <w:color w:val="auto"/>
          <w:sz w:val="28"/>
          <w:highlight w:val="none"/>
          <w:lang w:val="en-US" w:eastAsia="zh-CN" w:bidi="ar-SA"/>
        </w:rPr>
        <w:outlineLvl w:val="1"/>
      </w:pPr>
      <w:r>
        <w:rPr>
          <w:rFonts w:hint="eastAsia" w:ascii="黑体" w:hAnsi="黑体" w:eastAsia="黑体" w:cs="黑体"/>
          <w:color w:val="auto"/>
          <w:highlight w:val="none"/>
          <w:lang w:val="en-US" w:eastAsia="zh-CN" w:bidi="ar-SA"/>
        </w:rPr>
        <w:br w:type="page" w:clear="all"/>
      </w:r>
      <w:bookmarkStart w:id="45" w:name="_Toc25312"/>
      <w:r/>
      <w:bookmarkStart w:id="46" w:name="_Toc80122303"/>
      <w:r/>
      <w:bookmarkStart w:id="47" w:name="_Toc21194"/>
      <w:r>
        <w:rPr>
          <w:rFonts w:hint="eastAsia" w:ascii="黑体" w:hAnsi="黑体" w:eastAsia="黑体" w:cs="黑体"/>
          <w:b/>
          <w:bCs/>
          <w:color w:val="auto"/>
          <w:sz w:val="28"/>
          <w:szCs w:val="21"/>
          <w:highlight w:val="none"/>
          <w:lang w:val="en-US" w:eastAsia="zh-CN" w:bidi="ar-SA"/>
        </w:rPr>
        <w:t xml:space="preserve">二、磋商报价表</w:t>
      </w:r>
      <w:bookmarkEnd w:id="45"/>
      <w:r/>
      <w:bookmarkEnd w:id="46"/>
      <w:r/>
      <w:bookmarkEnd w:id="47"/>
      <w:r/>
      <w:r/>
    </w:p>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highlight w:val="none"/>
          <w:lang w:val="en-US" w:eastAsia="zh-CN" w:bidi="ar-SA"/>
        </w:rPr>
        <w:t xml:space="preserve">（本次为  □首次  □终次报价）                              </w:t>
      </w:r>
      <w:r/>
    </w:p>
    <w:p>
      <w:pPr>
        <w:ind w:left="0" w:right="0" w:firstLine="0"/>
        <w:jc w:val="both"/>
        <w:spacing w:before="0" w:after="0"/>
        <w:widowControl/>
        <w:rPr>
          <w:rFonts w:hint="eastAsia" w:ascii="黑体" w:hAnsi="黑体" w:eastAsia="黑体" w:cs="黑体"/>
          <w:color w:val="auto"/>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szCs w:val="21"/>
          <w:highlight w:val="none"/>
        </w:rPr>
        <w:t xml:space="preserve">项目编号：</w:t>
      </w:r>
      <w:r>
        <w:rPr>
          <w:rFonts w:hint="eastAsia" w:ascii="黑体" w:hAnsi="黑体" w:eastAsia="黑体" w:cs="黑体"/>
          <w:color w:val="auto"/>
          <w:sz w:val="24"/>
          <w:szCs w:val="21"/>
          <w:highlight w:val="none"/>
          <w:lang w:eastAsia="zh-CN"/>
        </w:rPr>
        <w:t xml:space="preserve">JSZC-320300-ZBZJ-C2026-0001</w:t>
      </w:r>
      <w:r/>
    </w:p>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采购包：</w:t>
      </w:r>
      <w:r>
        <w:rPr>
          <w:rFonts w:hint="eastAsia" w:ascii="黑体" w:hAnsi="黑体" w:eastAsia="黑体" w:cs="黑体"/>
          <w:color w:val="auto"/>
          <w:sz w:val="24"/>
          <w:szCs w:val="21"/>
          <w:highlight w:val="none"/>
          <w:u w:val="single"/>
          <w:lang w:val="en-US" w:eastAsia="zh-CN" w:bidi="ar-SA"/>
        </w:rPr>
        <w:t xml:space="preserve">                 </w:t>
      </w:r>
      <w:r>
        <w:rPr>
          <w:rFonts w:hint="eastAsia" w:ascii="黑体" w:hAnsi="黑体" w:eastAsia="黑体" w:cs="黑体"/>
          <w:color w:val="auto"/>
          <w:sz w:val="24"/>
          <w:szCs w:val="21"/>
          <w:highlight w:val="none"/>
          <w:lang w:val="en-US" w:eastAsia="zh-CN" w:bidi="ar-SA"/>
        </w:rPr>
        <w:t xml:space="preserve">                                单位：%</w:t>
      </w:r>
      <w:r/>
    </w:p>
    <w:tbl>
      <w:tblPr>
        <w:tblStyle w:val="1039"/>
        <w:tblW w:w="97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358"/>
        <w:gridCol w:w="1956"/>
        <w:gridCol w:w="1956"/>
        <w:gridCol w:w="1837"/>
        <w:gridCol w:w="1636"/>
      </w:tblGrid>
      <w:tr>
        <w:trPr>
          <w:jc w:val="center"/>
          <w:trHeight w:val="1107"/>
        </w:trPr>
        <w:tc>
          <w:tcPr>
            <w:tcW w:w="2358" w:type="dxa"/>
            <w:vAlign w:val="center"/>
            <w:textDirection w:val="lrTb"/>
            <w:noWrap w:val="false"/>
          </w:tcPr>
          <w:p>
            <w:pPr>
              <w:jc w:val="center"/>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项目名称</w:t>
            </w:r>
            <w:r/>
          </w:p>
        </w:tc>
        <w:tc>
          <w:tcPr>
            <w:tcW w:w="1956" w:type="dxa"/>
            <w:vAlign w:val="center"/>
            <w:textDirection w:val="lrTb"/>
            <w:noWrap w:val="false"/>
          </w:tcPr>
          <w:p>
            <w:pPr>
              <w:jc w:val="center"/>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采购包名称</w:t>
            </w:r>
            <w:r/>
          </w:p>
        </w:tc>
        <w:tc>
          <w:tcPr>
            <w:tcW w:w="1956" w:type="dxa"/>
            <w:vAlign w:val="center"/>
            <w:textDirection w:val="lrTb"/>
            <w:noWrap w:val="false"/>
          </w:tcPr>
          <w:p>
            <w:pPr>
              <w:jc w:val="center"/>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项目内容</w:t>
            </w:r>
            <w:r/>
          </w:p>
        </w:tc>
        <w:tc>
          <w:tcPr>
            <w:tcW w:w="1837" w:type="dxa"/>
            <w:vAlign w:val="center"/>
            <w:textDirection w:val="lrTb"/>
            <w:noWrap w:val="false"/>
          </w:tcPr>
          <w:p>
            <w:pPr>
              <w:jc w:val="center"/>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优惠率</w:t>
            </w:r>
            <w:r/>
          </w:p>
        </w:tc>
        <w:tc>
          <w:tcPr>
            <w:tcW w:w="1636" w:type="dxa"/>
            <w:vAlign w:val="center"/>
            <w:textDirection w:val="lrTb"/>
            <w:noWrap w:val="false"/>
          </w:tcPr>
          <w:p>
            <w:pPr>
              <w:jc w:val="center"/>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highlight w:val="none"/>
                <w:lang w:val="en-US" w:eastAsia="zh-CN" w:bidi="ar-SA"/>
              </w:rPr>
              <w:t xml:space="preserve">备注</w:t>
            </w:r>
            <w:r/>
          </w:p>
        </w:tc>
      </w:tr>
      <w:tr>
        <w:trPr>
          <w:jc w:val="center"/>
          <w:trHeight w:val="2326"/>
        </w:trPr>
        <w:tc>
          <w:tcPr>
            <w:tcW w:w="2358" w:type="dxa"/>
            <w:vAlign w:val="center"/>
            <w:textDirection w:val="lrTb"/>
            <w:noWrap w:val="false"/>
          </w:tcPr>
          <w:p>
            <w:pPr>
              <w:jc w:val="center"/>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2026年度市管道路零星沟槽修复工程</w:t>
            </w:r>
            <w:r/>
          </w:p>
        </w:tc>
        <w:tc>
          <w:tcPr>
            <w:tcW w:w="1956" w:type="dxa"/>
            <w:vAlign w:val="center"/>
            <w:textDirection w:val="lrTb"/>
            <w:noWrap w:val="false"/>
          </w:tcPr>
          <w:p>
            <w:pPr>
              <w:jc w:val="center"/>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tc>
        <w:tc>
          <w:tcPr>
            <w:tcW w:w="1956" w:type="dxa"/>
            <w:vAlign w:val="center"/>
            <w:textDirection w:val="lrTb"/>
            <w:noWrap w:val="false"/>
          </w:tcPr>
          <w:p>
            <w:pPr>
              <w:jc w:val="center"/>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详见响应文件</w:t>
            </w:r>
            <w:r/>
          </w:p>
        </w:tc>
        <w:tc>
          <w:tcPr>
            <w:tcW w:w="1837" w:type="dxa"/>
            <w:vAlign w:val="center"/>
            <w:textDirection w:val="lrTb"/>
            <w:noWrap w:val="false"/>
          </w:tcPr>
          <w:p>
            <w:pPr>
              <w:jc w:val="center"/>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u w:val="single"/>
                <w:lang w:val="en-US" w:eastAsia="zh-CN" w:bidi="ar-SA"/>
              </w:rPr>
              <w:t xml:space="preserve">    </w:t>
            </w:r>
            <w:r>
              <w:rPr>
                <w:rFonts w:hint="eastAsia" w:ascii="黑体" w:hAnsi="黑体" w:eastAsia="黑体" w:cs="黑体"/>
                <w:color w:val="auto"/>
                <w:sz w:val="24"/>
                <w:szCs w:val="21"/>
                <w:highlight w:val="none"/>
                <w:lang w:val="en-US" w:eastAsia="zh-CN" w:bidi="ar-SA"/>
              </w:rPr>
              <w:t xml:space="preserve">%</w:t>
            </w:r>
            <w:r/>
          </w:p>
        </w:tc>
        <w:tc>
          <w:tcPr>
            <w:tcW w:w="1636" w:type="dxa"/>
            <w:vAlign w:val="center"/>
            <w:textDirection w:val="lrTb"/>
            <w:noWrap w:val="false"/>
          </w:tcPr>
          <w:p>
            <w:pPr>
              <w:jc w:val="both"/>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tc>
      </w:tr>
    </w:tbl>
    <w:p>
      <w:pPr>
        <w:jc w:val="both"/>
        <w:spacing w:line="360" w:lineRule="auto"/>
        <w:widowControl w:val="off"/>
        <w:rPr>
          <w:rFonts w:hint="eastAsia" w:ascii="黑体" w:hAnsi="黑体" w:eastAsia="黑体" w:cs="黑体"/>
          <w:color w:val="auto"/>
          <w:sz w:val="24"/>
          <w:highlight w:val="none"/>
          <w:lang w:val="en-US" w:eastAsia="zh-CN" w:bidi="ar-SA"/>
        </w:rPr>
      </w:pPr>
      <w:r>
        <w:rPr>
          <w:rFonts w:hint="eastAsia" w:ascii="黑体" w:hAnsi="黑体" w:eastAsia="黑体" w:cs="黑体"/>
          <w:color w:val="auto"/>
          <w:sz w:val="24"/>
          <w:highlight w:val="none"/>
          <w:lang w:val="en-US" w:eastAsia="zh-CN" w:bidi="ar-SA"/>
        </w:rPr>
      </w:r>
      <w:r/>
    </w:p>
    <w:p>
      <w:pPr>
        <w:ind w:firstLine="480"/>
        <w:jc w:val="left"/>
        <w:spacing w:line="360" w:lineRule="auto"/>
        <w:widowControl w:val="off"/>
        <w:rPr>
          <w:rFonts w:hint="eastAsia" w:ascii="黑体" w:hAnsi="黑体" w:eastAsia="黑体" w:cs="黑体"/>
          <w:color w:val="auto"/>
          <w:sz w:val="24"/>
          <w:highlight w:val="none"/>
          <w:lang w:val="en-US" w:eastAsia="zh-CN" w:bidi="ar-SA"/>
        </w:rPr>
      </w:pPr>
      <w:r>
        <w:rPr>
          <w:rFonts w:hint="eastAsia" w:ascii="黑体" w:hAnsi="黑体" w:eastAsia="黑体" w:cs="黑体"/>
          <w:color w:val="auto"/>
          <w:sz w:val="24"/>
          <w:szCs w:val="21"/>
          <w:highlight w:val="none"/>
          <w:lang w:val="en-US" w:eastAsia="zh-CN" w:bidi="ar-SA"/>
        </w:rPr>
        <w:t xml:space="preserve">供应商承诺：  1、本报价（优惠率）为供应商本企业提供的服务。 </w:t>
      </w:r>
      <w:r/>
    </w:p>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                  2、</w:t>
      </w:r>
      <w:r>
        <w:rPr>
          <w:rFonts w:hint="eastAsia" w:ascii="黑体" w:hAnsi="黑体" w:eastAsia="黑体" w:cs="黑体"/>
          <w:color w:val="auto"/>
          <w:sz w:val="24"/>
          <w:highlight w:val="none"/>
          <w:lang w:val="en-US" w:eastAsia="zh-CN" w:bidi="ar-SA"/>
        </w:rPr>
        <w:t xml:space="preserve">根据相关标准、规范进行试验、检测并承担所有费用。</w:t>
      </w:r>
      <w:r/>
    </w:p>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报价说明：</w:t>
      </w:r>
      <w:r/>
    </w:p>
    <w:p>
      <w:pPr>
        <w:ind w:firstLine="480"/>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1、报价包括完成项目的所有费用。采购人不再支付报价以外的任何费用。</w:t>
      </w:r>
      <w:r/>
    </w:p>
    <w:p>
      <w:pPr>
        <w:ind w:firstLine="480"/>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2、报价以总价为准，大小写不一致以大写为准；</w:t>
      </w:r>
      <w:r/>
    </w:p>
    <w:p>
      <w:pPr>
        <w:ind w:firstLine="480"/>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3、偏离说明：详见《偏离表》；</w:t>
      </w:r>
      <w:r/>
    </w:p>
    <w:p>
      <w:pPr>
        <w:ind w:firstLine="482"/>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4、如最后报价未列明单价，则最后所报各项单价计算方法为：（最后总价/最初总价）* 各项最初报价的单价。</w:t>
      </w:r>
      <w:r/>
    </w:p>
    <w:p>
      <w:pPr>
        <w:ind w:right="29" w:firstLine="3960"/>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供应商（电子签章）：</w:t>
      </w:r>
      <w:r/>
    </w:p>
    <w:p>
      <w:pPr>
        <w:ind w:left="3950" w:right="29"/>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日期：</w:t>
      </w:r>
      <w:r/>
    </w:p>
    <w:p>
      <w:pPr>
        <w:ind w:firstLine="482"/>
        <w:jc w:val="right"/>
        <w:spacing w:line="360" w:lineRule="auto"/>
        <w:widowControl w:val="off"/>
        <w:rPr>
          <w:rFonts w:hint="eastAsia" w:ascii="黑体" w:hAnsi="黑体" w:eastAsia="黑体" w:cs="黑体"/>
          <w:b/>
          <w:color w:val="auto"/>
          <w:highlight w:val="none"/>
          <w:lang w:val="en-US" w:eastAsia="zh-CN" w:bidi="ar-SA"/>
        </w:rPr>
      </w:pPr>
      <w:r>
        <w:rPr>
          <w:rFonts w:hint="eastAsia" w:ascii="黑体" w:hAnsi="黑体" w:eastAsia="黑体" w:cs="黑体"/>
          <w:b/>
          <w:color w:val="auto"/>
          <w:highlight w:val="none"/>
          <w:lang w:val="en-US" w:eastAsia="zh-CN" w:bidi="ar-SA"/>
        </w:rPr>
      </w:r>
      <w:r/>
    </w:p>
    <w:p>
      <w:pPr>
        <w:spacing w:line="360" w:lineRule="auto"/>
        <w:widowControl/>
        <w:rPr>
          <w:rFonts w:hint="eastAsia" w:ascii="黑体" w:hAnsi="黑体" w:eastAsia="黑体" w:cs="黑体"/>
          <w:b/>
          <w:color w:val="auto"/>
          <w:sz w:val="24"/>
          <w:szCs w:val="24"/>
          <w:highlight w:val="none"/>
        </w:rPr>
      </w:pPr>
      <w:r>
        <w:rPr>
          <w:rFonts w:hint="eastAsia" w:ascii="黑体" w:hAnsi="黑体" w:eastAsia="黑体" w:cs="黑体"/>
          <w:color w:val="auto"/>
          <w:szCs w:val="21"/>
          <w:highlight w:val="none"/>
        </w:rPr>
        <w:br w:type="page" w:clear="all"/>
      </w:r>
      <w:r/>
    </w:p>
    <w:p>
      <w:pPr>
        <w:jc w:val="center"/>
        <w:spacing w:line="360" w:lineRule="auto"/>
        <w:widowControl/>
        <w:rPr>
          <w:rFonts w:hint="eastAsia" w:ascii="黑体" w:hAnsi="黑体" w:eastAsia="黑体" w:cs="黑体"/>
          <w:b/>
          <w:color w:val="auto"/>
          <w:sz w:val="28"/>
          <w:szCs w:val="28"/>
          <w:highlight w:val="none"/>
        </w:rPr>
        <w:outlineLvl w:val="1"/>
      </w:pPr>
      <w:r/>
      <w:bookmarkStart w:id="48" w:name="_Toc14249"/>
      <w:r/>
      <w:bookmarkStart w:id="49" w:name="_Toc19902"/>
      <w:r/>
      <w:bookmarkStart w:id="50" w:name="_Toc80122304"/>
      <w:r>
        <w:rPr>
          <w:rFonts w:hint="eastAsia" w:ascii="黑体" w:hAnsi="黑体" w:eastAsia="黑体" w:cs="黑体"/>
          <w:color w:val="auto"/>
          <w:sz w:val="28"/>
          <w:szCs w:val="28"/>
          <w:highlight w:val="none"/>
        </w:rPr>
        <w:t xml:space="preserve">三、</w:t>
      </w:r>
      <w:bookmarkEnd w:id="48"/>
      <w:r/>
      <w:bookmarkEnd w:id="49"/>
      <w:r/>
      <w:bookmarkEnd w:id="50"/>
      <w:r>
        <w:rPr>
          <w:rFonts w:hint="eastAsia" w:ascii="黑体" w:hAnsi="黑体" w:eastAsia="黑体" w:cs="黑体"/>
          <w:b/>
          <w:color w:val="auto"/>
          <w:sz w:val="28"/>
          <w:szCs w:val="28"/>
          <w:highlight w:val="none"/>
        </w:rPr>
        <w:t xml:space="preserve">投 标 承 诺 书</w:t>
      </w:r>
      <w:r/>
    </w:p>
    <w:p>
      <w:pPr>
        <w:spacing w:line="360" w:lineRule="auto"/>
        <w:widowControl/>
        <w:rPr>
          <w:rFonts w:hint="eastAsia" w:ascii="黑体" w:hAnsi="黑体" w:eastAsia="黑体" w:cs="黑体"/>
          <w:color w:val="auto"/>
          <w:sz w:val="24"/>
          <w:szCs w:val="24"/>
          <w:highlight w:val="none"/>
          <w:u w:val="single"/>
        </w:rPr>
      </w:pPr>
      <w:r>
        <w:rPr>
          <w:rFonts w:hint="eastAsia" w:ascii="黑体" w:hAnsi="黑体" w:eastAsia="黑体" w:cs="黑体"/>
          <w:color w:val="auto"/>
          <w:sz w:val="24"/>
          <w:szCs w:val="24"/>
          <w:highlight w:val="none"/>
          <w:u w:val="single"/>
        </w:rPr>
      </w:r>
      <w:r/>
    </w:p>
    <w:p>
      <w:pPr>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徐州市市政管理中心：</w:t>
      </w:r>
      <w:r/>
    </w:p>
    <w:p>
      <w:pPr>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    我单位有幸参加</w:t>
      </w:r>
      <w:r>
        <w:rPr>
          <w:rFonts w:hint="eastAsia" w:ascii="黑体" w:hAnsi="黑体" w:eastAsia="黑体" w:cs="黑体"/>
          <w:color w:val="auto"/>
          <w:sz w:val="24"/>
          <w:szCs w:val="24"/>
          <w:highlight w:val="none"/>
          <w:u w:val="single"/>
        </w:rPr>
        <w:t xml:space="preserve">         </w:t>
      </w:r>
      <w:r>
        <w:rPr>
          <w:rFonts w:hint="eastAsia" w:ascii="黑体" w:hAnsi="黑体" w:eastAsia="黑体" w:cs="黑体"/>
          <w:color w:val="auto"/>
          <w:sz w:val="24"/>
          <w:szCs w:val="24"/>
          <w:highlight w:val="none"/>
        </w:rPr>
        <w:t xml:space="preserve">（项目名称）</w:t>
      </w:r>
      <w:r>
        <w:rPr>
          <w:rFonts w:hint="eastAsia" w:ascii="黑体" w:hAnsi="黑体" w:eastAsia="黑体" w:cs="黑体"/>
          <w:color w:val="auto"/>
          <w:sz w:val="24"/>
          <w:szCs w:val="24"/>
          <w:highlight w:val="none"/>
          <w:u w:val="single"/>
        </w:rPr>
        <w:t xml:space="preserve">         </w:t>
      </w:r>
      <w:r>
        <w:rPr>
          <w:rFonts w:hint="eastAsia" w:ascii="黑体" w:hAnsi="黑体" w:eastAsia="黑体" w:cs="黑体"/>
          <w:color w:val="auto"/>
          <w:sz w:val="24"/>
          <w:szCs w:val="24"/>
          <w:highlight w:val="none"/>
        </w:rPr>
        <w:t xml:space="preserve">(项目编号）的招投标活动，在此承诺如下（包含不限于以下内容）：</w:t>
      </w:r>
      <w:r/>
    </w:p>
    <w:p>
      <w:pPr>
        <w:ind w:firstLine="480"/>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1、投标项目部人员全部为本单位正式上岗人员；</w:t>
      </w:r>
      <w:r/>
    </w:p>
    <w:p>
      <w:pPr>
        <w:ind w:firstLine="480"/>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2、本工程不串通投标、不转包、不违法分包、不私招乱雇人员，并向管理部门提供自有劳务人员名单；</w:t>
      </w:r>
      <w:r/>
    </w:p>
    <w:p>
      <w:pPr>
        <w:ind w:firstLine="480"/>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3、按要求办理民工维权告示牌、民工劳动计酬手册及民工上岗胸牌；</w:t>
      </w:r>
      <w:r/>
    </w:p>
    <w:p>
      <w:pPr>
        <w:ind w:firstLine="480"/>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4、遵守廉洁相关规定，不向招投标各方主体及监管部门行贿、受贿；</w:t>
      </w:r>
      <w:r/>
    </w:p>
    <w:p>
      <w:pPr>
        <w:ind w:firstLine="480"/>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5、符合徐州市有关部门规定的标准化施工现场要求；</w:t>
      </w:r>
      <w:r/>
    </w:p>
    <w:p>
      <w:pPr>
        <w:ind w:firstLine="480"/>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6、不拖欠工人工资，按时发放工人工资；</w:t>
      </w:r>
      <w:r/>
    </w:p>
    <w:p>
      <w:pPr>
        <w:ind w:firstLine="480"/>
        <w:spacing w:line="360" w:lineRule="auto"/>
        <w:widowControl/>
        <w:rPr>
          <w:rFonts w:hint="eastAsia" w:ascii="黑体" w:hAnsi="黑体" w:eastAsia="黑体" w:cs="黑体"/>
          <w:color w:val="auto"/>
          <w:sz w:val="24"/>
          <w:szCs w:val="24"/>
          <w:highlight w:val="none"/>
          <w:u w:val="single"/>
        </w:rPr>
      </w:pPr>
      <w:r>
        <w:rPr>
          <w:rFonts w:hint="eastAsia" w:ascii="黑体" w:hAnsi="黑体" w:eastAsia="黑体" w:cs="黑体"/>
          <w:color w:val="auto"/>
          <w:sz w:val="24"/>
          <w:szCs w:val="24"/>
          <w:highlight w:val="none"/>
        </w:rPr>
        <w:t xml:space="preserve">7、其他承诺：</w:t>
      </w:r>
      <w:r>
        <w:rPr>
          <w:rFonts w:hint="eastAsia" w:ascii="黑体" w:hAnsi="黑体" w:eastAsia="黑体" w:cs="黑体"/>
          <w:color w:val="auto"/>
          <w:sz w:val="24"/>
          <w:szCs w:val="24"/>
          <w:highlight w:val="none"/>
          <w:u w:val="single"/>
        </w:rPr>
        <w:t xml:space="preserve">                             。</w:t>
      </w:r>
      <w:r/>
    </w:p>
    <w:p>
      <w:pPr>
        <w:ind w:firstLine="480"/>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以上承诺如有违反，愿自动放弃本次投标，接受相关部门处罚，并自愿退出徐州招投标市场。</w:t>
      </w:r>
      <w:r/>
    </w:p>
    <w:p>
      <w:pPr>
        <w:ind w:firstLine="4080"/>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供应商（电子签章）</w:t>
      </w:r>
      <w:r/>
    </w:p>
    <w:p>
      <w:pPr>
        <w:ind w:firstLine="4080"/>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r>
      <w:r/>
    </w:p>
    <w:p>
      <w:pPr>
        <w:ind w:firstLine="0"/>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                                   年   月    日</w:t>
      </w:r>
      <w:r/>
    </w:p>
    <w:p>
      <w:pPr>
        <w:ind w:firstLine="480"/>
        <w:jc w:val="both"/>
        <w:spacing w:after="0" w:line="360" w:lineRule="auto"/>
        <w:widowControl w:val="off"/>
        <w:rPr>
          <w:rFonts w:hint="eastAsia" w:ascii="黑体" w:hAnsi="黑体" w:eastAsia="黑体" w:cs="黑体"/>
          <w:b/>
          <w:i/>
          <w:color w:val="auto"/>
          <w:sz w:val="24"/>
          <w:szCs w:val="24"/>
          <w:highlight w:val="none"/>
          <w:u w:val="single"/>
          <w:lang w:val="en-US" w:eastAsia="zh-CN" w:bidi="ar-SA"/>
        </w:rPr>
      </w:pPr>
      <w:r>
        <w:rPr>
          <w:rFonts w:hint="eastAsia" w:ascii="黑体" w:hAnsi="黑体" w:eastAsia="黑体" w:cs="黑体"/>
          <w:b/>
          <w:i/>
          <w:color w:val="auto"/>
          <w:sz w:val="24"/>
          <w:szCs w:val="24"/>
          <w:highlight w:val="none"/>
          <w:u w:val="single"/>
          <w:lang w:val="en-US" w:eastAsia="zh-CN" w:bidi="ar-SA"/>
        </w:rPr>
      </w:r>
      <w:r/>
    </w:p>
    <w:p>
      <w:pPr>
        <w:ind w:firstLine="482"/>
        <w:jc w:val="left"/>
        <w:spacing w:line="360" w:lineRule="auto"/>
        <w:widowControl w:val="off"/>
        <w:tabs>
          <w:tab w:val="center" w:pos="4200" w:leader="none"/>
        </w:tabs>
        <w:rPr>
          <w:rFonts w:hint="eastAsia" w:ascii="黑体" w:hAnsi="黑体" w:eastAsia="黑体" w:cs="黑体"/>
          <w:b/>
          <w:bCs/>
          <w:color w:val="auto"/>
          <w:sz w:val="24"/>
          <w:szCs w:val="24"/>
          <w:highlight w:val="none"/>
          <w:lang w:val="en-US" w:eastAsia="zh-CN" w:bidi="ar-SA"/>
        </w:rPr>
      </w:pPr>
      <w:r>
        <w:rPr>
          <w:rFonts w:hint="eastAsia" w:ascii="黑体" w:hAnsi="黑体" w:eastAsia="黑体" w:cs="黑体"/>
          <w:b/>
          <w:bCs/>
          <w:color w:val="auto"/>
          <w:sz w:val="24"/>
          <w:szCs w:val="24"/>
          <w:highlight w:val="none"/>
          <w:lang w:val="en-US" w:eastAsia="zh-CN" w:bidi="ar-SA"/>
        </w:rPr>
      </w:r>
      <w:r/>
    </w:p>
    <w:p>
      <w:pPr>
        <w:jc w:val="center"/>
        <w:spacing w:line="360" w:lineRule="auto"/>
        <w:widowControl w:val="off"/>
        <w:rPr>
          <w:rFonts w:hint="eastAsia" w:ascii="黑体" w:hAnsi="黑体" w:eastAsia="黑体" w:cs="黑体"/>
          <w:color w:val="auto"/>
          <w:highlight w:val="none"/>
          <w:lang w:val="en-US" w:eastAsia="zh-CN" w:bidi="ar-SA"/>
        </w:rPr>
        <w:outlineLvl w:val="1"/>
      </w:pPr>
      <w:r>
        <w:rPr>
          <w:rFonts w:hint="eastAsia" w:ascii="黑体" w:hAnsi="黑体" w:eastAsia="黑体" w:cs="黑体"/>
          <w:color w:val="auto"/>
          <w:highlight w:val="none"/>
          <w:lang w:val="en-US" w:eastAsia="zh-CN" w:bidi="ar-SA"/>
        </w:rPr>
        <w:br w:type="page" w:clear="all"/>
      </w:r>
      <w:bookmarkStart w:id="51" w:name="_Toc32621"/>
      <w:r/>
      <w:bookmarkStart w:id="52" w:name="_Toc9364"/>
      <w:r/>
      <w:bookmarkStart w:id="53" w:name="_Toc80122305"/>
      <w:r>
        <w:rPr>
          <w:rFonts w:hint="eastAsia" w:ascii="黑体" w:hAnsi="黑体" w:eastAsia="黑体" w:cs="黑体"/>
          <w:b/>
          <w:bCs/>
          <w:color w:val="auto"/>
          <w:sz w:val="28"/>
          <w:szCs w:val="32"/>
          <w:highlight w:val="none"/>
          <w:lang w:val="en-US" w:eastAsia="zh-CN" w:bidi="ar-SA"/>
        </w:rPr>
        <w:t xml:space="preserve">四、偏离表</w:t>
      </w:r>
      <w:bookmarkEnd w:id="51"/>
      <w:r/>
      <w:bookmarkEnd w:id="52"/>
      <w:r/>
      <w:bookmarkEnd w:id="53"/>
      <w:r/>
      <w:r/>
    </w:p>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   项目名称：2026年度市管道路零星沟槽修复工程</w:t>
      </w:r>
      <w:r/>
    </w:p>
    <w:p>
      <w:pPr>
        <w:ind w:left="0" w:right="0" w:firstLine="0"/>
        <w:jc w:val="both"/>
        <w:spacing w:before="0" w:after="0"/>
        <w:widowControl/>
        <w:rPr>
          <w:rFonts w:hint="eastAsia" w:ascii="黑体" w:hAnsi="黑体" w:eastAsia="黑体" w:cs="黑体"/>
          <w:color w:val="auto"/>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szCs w:val="21"/>
          <w:highlight w:val="none"/>
        </w:rPr>
        <w:t xml:space="preserve">   项目编号：</w:t>
      </w:r>
      <w:r>
        <w:rPr>
          <w:rFonts w:hint="eastAsia" w:ascii="黑体" w:hAnsi="黑体" w:eastAsia="黑体" w:cs="黑体"/>
          <w:color w:val="auto"/>
          <w:sz w:val="24"/>
          <w:szCs w:val="21"/>
          <w:highlight w:val="none"/>
          <w:lang w:eastAsia="zh-CN"/>
        </w:rPr>
        <w:t xml:space="preserve">JSZC-320300-ZBZJ-C2026-0001</w:t>
      </w:r>
      <w:r/>
    </w:p>
    <w:tbl>
      <w:tblPr>
        <w:tblStyle w:val="1039"/>
        <w:tblW w:w="8928" w:type="dxa"/>
        <w:jc w:val="center"/>
        <w:tblLayout w:type="fixed"/>
        <w:tblCellMar>
          <w:left w:w="0" w:type="dxa"/>
          <w:top w:w="0" w:type="dxa"/>
          <w:right w:w="0" w:type="dxa"/>
          <w:bottom w:w="0" w:type="dxa"/>
        </w:tblCellMar>
        <w:tblLook w:val="04A0" w:firstRow="1" w:lastRow="0" w:firstColumn="1" w:lastColumn="0" w:noHBand="0" w:noVBand="1"/>
      </w:tblPr>
      <w:tblGrid>
        <w:gridCol w:w="828"/>
        <w:gridCol w:w="900"/>
        <w:gridCol w:w="2340"/>
        <w:gridCol w:w="1620"/>
        <w:gridCol w:w="1260"/>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spacing w:line="360" w:lineRule="auto"/>
              <w:widowControl w:val="off"/>
              <w:rPr>
                <w:rFonts w:hint="eastAsia" w:ascii="黑体" w:hAnsi="黑体" w:eastAsia="黑体" w:cs="黑体"/>
                <w:caps/>
                <w:color w:val="auto"/>
                <w:highlight w:val="none"/>
                <w:lang w:val="en-US" w:eastAsia="zh-CN" w:bidi="ar-SA"/>
              </w:rPr>
            </w:pPr>
            <w:r>
              <w:rPr>
                <w:rFonts w:hint="eastAsia" w:ascii="黑体" w:hAnsi="黑体" w:eastAsia="黑体" w:cs="黑体"/>
                <w:caps/>
                <w:color w:val="auto"/>
                <w:sz w:val="24"/>
                <w:szCs w:val="21"/>
                <w:highlight w:val="none"/>
                <w:lang w:val="en-US" w:eastAsia="zh-CN" w:bidi="ar-SA"/>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spacing w:line="360" w:lineRule="auto"/>
              <w:widowControl w:val="off"/>
              <w:rPr>
                <w:rFonts w:hint="eastAsia" w:ascii="黑体" w:hAnsi="黑体" w:eastAsia="黑体" w:cs="黑体"/>
                <w:caps/>
                <w:color w:val="auto"/>
                <w:highlight w:val="none"/>
                <w:lang w:val="en-US" w:eastAsia="zh-CN" w:bidi="ar-SA"/>
              </w:rPr>
            </w:pPr>
            <w:r>
              <w:rPr>
                <w:rFonts w:hint="eastAsia" w:ascii="黑体" w:hAnsi="黑体" w:eastAsia="黑体" w:cs="黑体"/>
                <w:caps/>
                <w:color w:val="auto"/>
                <w:sz w:val="24"/>
                <w:szCs w:val="21"/>
                <w:highlight w:val="none"/>
                <w:lang w:val="en-US" w:eastAsia="zh-CN" w:bidi="ar-SA"/>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jc w:val="center"/>
              <w:spacing w:line="360" w:lineRule="auto"/>
              <w:widowControl w:val="off"/>
              <w:rPr>
                <w:rFonts w:hint="eastAsia" w:ascii="黑体" w:hAnsi="黑体" w:eastAsia="黑体" w:cs="黑体"/>
                <w:caps/>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jc w:val="center"/>
              <w:spacing w:line="360" w:lineRule="auto"/>
              <w:widowControl w:val="off"/>
              <w:rPr>
                <w:rFonts w:hint="eastAsia" w:ascii="黑体" w:hAnsi="黑体" w:eastAsia="黑体" w:cs="黑体"/>
                <w:caps/>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jc w:val="left"/>
              <w:spacing w:line="360" w:lineRule="auto"/>
              <w:widowControl w:val="off"/>
              <w:rPr>
                <w:rFonts w:hint="eastAsia" w:ascii="黑体" w:hAnsi="黑体" w:eastAsia="黑体" w:cs="黑体"/>
                <w:caps/>
                <w:color w:val="auto"/>
                <w:highlight w:val="none"/>
                <w:lang w:val="en-US" w:eastAsia="zh-CN" w:bidi="ar-SA"/>
              </w:rPr>
            </w:pPr>
            <w:r>
              <w:rPr>
                <w:rFonts w:hint="eastAsia" w:ascii="黑体" w:hAnsi="黑体" w:eastAsia="黑体" w:cs="黑体"/>
                <w:caps/>
                <w:color w:val="auto"/>
                <w:sz w:val="24"/>
                <w:szCs w:val="21"/>
                <w:highlight w:val="none"/>
                <w:lang w:val="en-US" w:eastAsia="zh-CN" w:bidi="ar-SA"/>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center"/>
              <w:spacing w:line="360" w:lineRule="auto"/>
              <w:widowControl w:val="off"/>
              <w:rPr>
                <w:rFonts w:hint="eastAsia" w:ascii="黑体" w:hAnsi="黑体" w:eastAsia="黑体" w:cs="黑体"/>
                <w:caps/>
                <w:color w:val="auto"/>
                <w:highlight w:val="none"/>
                <w:lang w:val="en-US" w:eastAsia="zh-CN" w:bidi="ar-SA"/>
              </w:rPr>
            </w:pPr>
            <w:r>
              <w:rPr>
                <w:rFonts w:hint="eastAsia" w:ascii="黑体" w:hAnsi="黑体" w:eastAsia="黑体" w:cs="黑体"/>
                <w:caps/>
                <w:color w:val="auto"/>
                <w:sz w:val="24"/>
                <w:szCs w:val="21"/>
                <w:highlight w:val="none"/>
                <w:lang w:val="en-US" w:eastAsia="zh-CN" w:bidi="ar-SA"/>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spacing w:line="360" w:lineRule="auto"/>
              <w:widowControl w:val="off"/>
              <w:rPr>
                <w:rFonts w:hint="eastAsia" w:ascii="黑体" w:hAnsi="黑体" w:eastAsia="黑体" w:cs="黑体"/>
                <w:caps/>
                <w:color w:val="auto"/>
                <w:highlight w:val="none"/>
                <w:lang w:val="en-US" w:eastAsia="zh-CN" w:bidi="ar-SA"/>
              </w:rPr>
            </w:pPr>
            <w:r>
              <w:rPr>
                <w:rFonts w:hint="eastAsia" w:ascii="黑体" w:hAnsi="黑体" w:eastAsia="黑体" w:cs="黑体"/>
                <w:caps/>
                <w:color w:val="auto"/>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spacing w:line="360" w:lineRule="auto"/>
              <w:widowControl w:val="off"/>
              <w:rPr>
                <w:rFonts w:hint="eastAsia" w:ascii="黑体" w:hAnsi="黑体" w:eastAsia="黑体" w:cs="黑体"/>
                <w:caps/>
                <w:color w:val="auto"/>
                <w:highlight w:val="none"/>
                <w:lang w:val="en-US" w:eastAsia="zh-CN" w:bidi="ar-SA"/>
              </w:rPr>
            </w:pPr>
            <w:r>
              <w:rPr>
                <w:rFonts w:hint="eastAsia" w:ascii="黑体" w:hAnsi="黑体" w:eastAsia="黑体" w:cs="黑体"/>
                <w:caps/>
                <w:color w:val="auto"/>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spacing w:line="360" w:lineRule="auto"/>
              <w:widowControl w:val="off"/>
              <w:rPr>
                <w:rFonts w:hint="eastAsia" w:ascii="黑体" w:hAnsi="黑体" w:eastAsia="黑体" w:cs="黑体"/>
                <w:caps/>
                <w:color w:val="auto"/>
                <w:highlight w:val="none"/>
                <w:lang w:val="en-US" w:eastAsia="zh-CN" w:bidi="ar-SA"/>
              </w:rPr>
            </w:pPr>
            <w:r>
              <w:rPr>
                <w:rFonts w:hint="eastAsia" w:ascii="黑体" w:hAnsi="黑体" w:eastAsia="黑体" w:cs="黑体"/>
                <w:caps/>
                <w:color w:val="auto"/>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val="off"/>
              <w:rPr>
                <w:rFonts w:hint="eastAsia" w:ascii="黑体" w:hAnsi="黑体" w:eastAsia="黑体" w:cs="黑体"/>
                <w:caps/>
                <w:color w:val="auto"/>
                <w:highlight w:val="none"/>
                <w:lang w:val="en-US" w:eastAsia="zh-CN" w:bidi="ar-SA"/>
              </w:rPr>
            </w:pPr>
            <w:r>
              <w:rPr>
                <w:rFonts w:hint="eastAsia" w:ascii="黑体" w:hAnsi="黑体" w:eastAsia="黑体" w:cs="黑体"/>
                <w:caps/>
                <w:color w:val="auto"/>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spacing w:line="360" w:lineRule="auto"/>
              <w:widowControl w:val="off"/>
              <w:rPr>
                <w:rFonts w:hint="eastAsia" w:ascii="黑体" w:hAnsi="黑体" w:eastAsia="黑体" w:cs="黑体"/>
                <w:caps/>
                <w:color w:val="auto"/>
                <w:highlight w:val="none"/>
                <w:lang w:val="en-US" w:eastAsia="zh-CN" w:bidi="ar-SA"/>
              </w:rPr>
            </w:pPr>
            <w:r>
              <w:rPr>
                <w:rFonts w:hint="eastAsia" w:ascii="黑体" w:hAnsi="黑体" w:eastAsia="黑体" w:cs="黑体"/>
                <w:caps/>
                <w:color w:val="auto"/>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spacing w:line="360" w:lineRule="auto"/>
              <w:widowControl w:val="off"/>
              <w:rPr>
                <w:rFonts w:hint="eastAsia" w:ascii="黑体" w:hAnsi="黑体" w:eastAsia="黑体" w:cs="黑体"/>
                <w:caps/>
                <w:color w:val="auto"/>
                <w:highlight w:val="none"/>
                <w:lang w:val="en-US" w:eastAsia="zh-CN" w:bidi="ar-SA"/>
              </w:rPr>
            </w:pPr>
            <w:r>
              <w:rPr>
                <w:rFonts w:hint="eastAsia" w:ascii="黑体" w:hAnsi="黑体" w:eastAsia="黑体" w:cs="黑体"/>
                <w:caps/>
                <w:color w:val="auto"/>
                <w:highlight w:val="none"/>
                <w:lang w:val="en-US" w:eastAsia="zh-CN" w:bidi="ar-SA"/>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tc>
      </w:tr>
    </w:tbl>
    <w:p>
      <w:pPr>
        <w:jc w:val="left"/>
        <w:spacing w:line="360" w:lineRule="auto"/>
        <w:widowControl w:val="off"/>
        <w:rPr>
          <w:rFonts w:hint="eastAsia" w:ascii="黑体" w:hAnsi="黑体" w:eastAsia="黑体" w:cs="黑体"/>
          <w:color w:val="auto"/>
          <w:highlight w:val="none"/>
          <w:u w:val="single"/>
          <w:lang w:val="en-US" w:eastAsia="zh-CN" w:bidi="ar-SA"/>
        </w:rPr>
      </w:pPr>
      <w:r>
        <w:rPr>
          <w:rFonts w:hint="eastAsia" w:ascii="黑体" w:hAnsi="黑体" w:eastAsia="黑体" w:cs="黑体"/>
          <w:color w:val="auto"/>
          <w:sz w:val="24"/>
          <w:szCs w:val="21"/>
          <w:highlight w:val="none"/>
          <w:u w:val="single"/>
          <w:lang w:val="en-US" w:eastAsia="zh-CN" w:bidi="ar-SA"/>
        </w:rPr>
        <w:t xml:space="preserve">注：供应商的首次响应文件中的内容与竞争性磋商文件（含竞争性磋商文件的澄清或者修改，下同）的要求不同时，逐条列在偏离表中，否则将认为供应商接受竞争性磋商文件的要求。</w:t>
      </w:r>
      <w:r/>
    </w:p>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p>
      <w:pPr>
        <w:ind w:firstLine="3960"/>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供应商（</w:t>
      </w:r>
      <w:r>
        <w:rPr>
          <w:rFonts w:hint="eastAsia" w:ascii="黑体" w:hAnsi="黑体" w:eastAsia="黑体" w:cs="黑体"/>
          <w:color w:val="auto"/>
          <w:sz w:val="24"/>
          <w:szCs w:val="24"/>
          <w:highlight w:val="none"/>
          <w:lang w:val="en-US" w:eastAsia="zh-CN" w:bidi="ar-SA"/>
        </w:rPr>
        <w:t xml:space="preserve">电子签章</w:t>
      </w:r>
      <w:r>
        <w:rPr>
          <w:rFonts w:hint="eastAsia" w:ascii="黑体" w:hAnsi="黑体" w:eastAsia="黑体" w:cs="黑体"/>
          <w:color w:val="auto"/>
          <w:sz w:val="24"/>
          <w:szCs w:val="21"/>
          <w:highlight w:val="none"/>
          <w:lang w:val="en-US" w:eastAsia="zh-CN" w:bidi="ar-SA"/>
        </w:rPr>
        <w:t xml:space="preserve">）：</w:t>
      </w:r>
      <w:r/>
    </w:p>
    <w:p>
      <w:pPr>
        <w:ind w:firstLine="3960"/>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 </w:t>
      </w:r>
      <w:r/>
    </w:p>
    <w:p>
      <w:pPr>
        <w:ind w:firstLine="3960"/>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日期：</w:t>
      </w:r>
      <w:r/>
    </w:p>
    <w:p>
      <w:pPr>
        <w:jc w:val="center"/>
        <w:spacing w:line="360" w:lineRule="auto"/>
        <w:widowControl w:val="off"/>
        <w:rPr>
          <w:rFonts w:hint="eastAsia" w:ascii="黑体" w:hAnsi="黑体" w:eastAsia="黑体" w:cs="黑体"/>
          <w:color w:val="auto"/>
          <w:sz w:val="28"/>
          <w:highlight w:val="none"/>
          <w:lang w:val="en-US" w:eastAsia="zh-CN" w:bidi="ar-SA"/>
        </w:rPr>
      </w:pPr>
      <w:r>
        <w:rPr>
          <w:rFonts w:hint="eastAsia" w:ascii="黑体" w:hAnsi="黑体" w:eastAsia="黑体" w:cs="黑体"/>
          <w:color w:val="auto"/>
          <w:sz w:val="28"/>
          <w:highlight w:val="none"/>
          <w:lang w:val="en-US" w:eastAsia="zh-CN" w:bidi="ar-SA"/>
        </w:rPr>
      </w:r>
      <w:r/>
    </w:p>
    <w:p>
      <w:pPr>
        <w:jc w:val="center"/>
        <w:spacing w:line="360" w:lineRule="auto"/>
        <w:widowControl w:val="off"/>
        <w:rPr>
          <w:rFonts w:hint="eastAsia" w:ascii="黑体" w:hAnsi="黑体" w:eastAsia="黑体" w:cs="黑体"/>
          <w:color w:val="auto"/>
          <w:sz w:val="28"/>
          <w:highlight w:val="none"/>
          <w:lang w:val="en-US" w:eastAsia="zh-CN" w:bidi="ar-SA"/>
        </w:rPr>
      </w:pPr>
      <w:r>
        <w:rPr>
          <w:rFonts w:hint="eastAsia" w:ascii="黑体" w:hAnsi="黑体" w:eastAsia="黑体" w:cs="黑体"/>
          <w:color w:val="auto"/>
          <w:sz w:val="28"/>
          <w:highlight w:val="none"/>
          <w:lang w:val="en-US" w:eastAsia="zh-CN" w:bidi="ar-SA"/>
        </w:rPr>
      </w:r>
      <w:r/>
    </w:p>
    <w:p>
      <w:pPr>
        <w:jc w:val="center"/>
        <w:spacing w:line="360" w:lineRule="auto"/>
        <w:widowControl w:val="off"/>
        <w:rPr>
          <w:rFonts w:hint="eastAsia" w:ascii="黑体" w:hAnsi="黑体" w:eastAsia="黑体" w:cs="黑体"/>
          <w:color w:val="auto"/>
          <w:sz w:val="28"/>
          <w:highlight w:val="none"/>
          <w:lang w:val="en-US" w:eastAsia="zh-CN" w:bidi="ar-SA"/>
        </w:rPr>
      </w:pPr>
      <w:r>
        <w:rPr>
          <w:rFonts w:hint="eastAsia" w:ascii="黑体" w:hAnsi="黑体" w:eastAsia="黑体" w:cs="黑体"/>
          <w:color w:val="auto"/>
          <w:sz w:val="28"/>
          <w:highlight w:val="none"/>
          <w:lang w:val="en-US" w:eastAsia="zh-CN" w:bidi="ar-SA"/>
        </w:rPr>
      </w:r>
      <w:r/>
    </w:p>
    <w:p>
      <w:pPr>
        <w:jc w:val="center"/>
        <w:spacing w:line="360" w:lineRule="auto"/>
        <w:widowControl w:val="off"/>
        <w:rPr>
          <w:rFonts w:hint="eastAsia" w:ascii="黑体" w:hAnsi="黑体" w:eastAsia="黑体" w:cs="黑体"/>
          <w:color w:val="auto"/>
          <w:sz w:val="28"/>
          <w:highlight w:val="none"/>
          <w:lang w:val="en-US" w:eastAsia="zh-CN" w:bidi="ar-SA"/>
        </w:rPr>
      </w:pPr>
      <w:r>
        <w:rPr>
          <w:rFonts w:hint="eastAsia" w:ascii="黑体" w:hAnsi="黑体" w:eastAsia="黑体" w:cs="黑体"/>
          <w:color w:val="auto"/>
          <w:sz w:val="28"/>
          <w:highlight w:val="none"/>
          <w:lang w:val="en-US" w:eastAsia="zh-CN" w:bidi="ar-SA"/>
        </w:rPr>
      </w:r>
      <w:r/>
    </w:p>
    <w:p>
      <w:pPr>
        <w:jc w:val="center"/>
        <w:keepLines w:val="0"/>
        <w:keepNext w:val="0"/>
        <w:spacing w:before="260" w:after="260" w:line="360" w:lineRule="auto"/>
        <w:widowControl w:val="off"/>
        <w:rPr>
          <w:rFonts w:hint="eastAsia" w:ascii="黑体" w:hAnsi="黑体" w:eastAsia="黑体" w:cs="黑体"/>
          <w:b/>
          <w:bCs/>
          <w:color w:val="auto"/>
          <w:sz w:val="28"/>
          <w:szCs w:val="32"/>
          <w:highlight w:val="none"/>
          <w:lang w:val="en-US" w:eastAsia="zh-CN" w:bidi="ar-SA"/>
        </w:rPr>
        <w:outlineLvl w:val="1"/>
      </w:pPr>
      <w:r/>
      <w:bookmarkStart w:id="54" w:name="_Toc80122306"/>
      <w:r>
        <w:rPr>
          <w:rFonts w:hint="eastAsia" w:ascii="黑体" w:hAnsi="黑体" w:eastAsia="黑体" w:cs="黑体"/>
          <w:b/>
          <w:bCs/>
          <w:color w:val="auto"/>
          <w:sz w:val="28"/>
          <w:szCs w:val="21"/>
          <w:highlight w:val="none"/>
          <w:lang w:val="en-US" w:eastAsia="zh-CN" w:bidi="ar-SA"/>
        </w:rPr>
        <w:br w:type="page" w:clear="all"/>
      </w:r>
      <w:bookmarkStart w:id="55" w:name="_Toc15659"/>
      <w:r/>
      <w:bookmarkStart w:id="56" w:name="_Toc7832"/>
      <w:r>
        <w:rPr>
          <w:rFonts w:hint="eastAsia" w:ascii="黑体" w:hAnsi="黑体" w:eastAsia="黑体" w:cs="黑体"/>
          <w:b/>
          <w:bCs/>
          <w:color w:val="auto"/>
          <w:sz w:val="28"/>
          <w:szCs w:val="21"/>
          <w:highlight w:val="none"/>
          <w:lang w:val="en-US" w:eastAsia="zh-CN" w:bidi="ar-SA"/>
        </w:rPr>
        <w:t xml:space="preserve">五、授权委托书</w:t>
      </w:r>
      <w:bookmarkEnd w:id="54"/>
      <w:r/>
      <w:bookmarkEnd w:id="55"/>
      <w:r/>
      <w:bookmarkEnd w:id="56"/>
      <w:r/>
      <w:r/>
    </w:p>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委托人（全称）：</w:t>
      </w:r>
      <w:r/>
    </w:p>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地  址：</w:t>
      </w:r>
      <w:r/>
    </w:p>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法定代表人：              </w:t>
      </w:r>
      <w:r/>
    </w:p>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统一社会信用代码：</w:t>
      </w:r>
      <w:r/>
    </w:p>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受托人：                  先生（女士）</w:t>
      </w:r>
      <w:r/>
    </w:p>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身份证号：</w:t>
      </w:r>
      <w:r/>
    </w:p>
    <w:p>
      <w:pPr>
        <w:ind w:left="0" w:right="0" w:firstLine="0"/>
        <w:jc w:val="both"/>
        <w:spacing w:before="0" w:after="0"/>
        <w:widowControl/>
        <w:rPr>
          <w:rFonts w:hint="eastAsia" w:ascii="黑体" w:hAnsi="黑体" w:eastAsia="黑体" w:cs="黑体"/>
          <w:color w:val="auto"/>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szCs w:val="21"/>
          <w:highlight w:val="none"/>
        </w:rPr>
        <w:t xml:space="preserve">兹委托（            ）全权代表我企业（公司）参与</w:t>
      </w:r>
      <w:r>
        <w:rPr>
          <w:rFonts w:hint="eastAsia" w:ascii="黑体" w:hAnsi="黑体" w:eastAsia="黑体" w:cs="黑体"/>
          <w:color w:val="auto"/>
          <w:sz w:val="24"/>
          <w:szCs w:val="21"/>
          <w:highlight w:val="none"/>
          <w:u w:val="single"/>
          <w:lang w:eastAsia="zh-CN"/>
        </w:rPr>
        <w:t xml:space="preserve">2026年度市管道路零星沟槽修复工程</w:t>
      </w:r>
      <w:r>
        <w:rPr>
          <w:rFonts w:hint="eastAsia" w:ascii="黑体" w:hAnsi="黑体" w:eastAsia="黑体" w:cs="黑体"/>
          <w:color w:val="auto"/>
          <w:sz w:val="24"/>
          <w:szCs w:val="21"/>
          <w:highlight w:val="none"/>
        </w:rPr>
        <w:t xml:space="preserve"> [项目编号：</w:t>
      </w:r>
      <w:r>
        <w:rPr>
          <w:rFonts w:hint="eastAsia" w:ascii="黑体" w:hAnsi="黑体" w:eastAsia="黑体" w:cs="黑体"/>
          <w:color w:val="auto"/>
          <w:sz w:val="24"/>
          <w:szCs w:val="21"/>
          <w:highlight w:val="none"/>
          <w:lang w:eastAsia="zh-CN"/>
        </w:rPr>
        <w:t xml:space="preserve">JSZC-320300-ZBZJ-C2026-0001</w:t>
      </w:r>
      <w:r>
        <w:rPr>
          <w:rFonts w:hint="eastAsia" w:ascii="黑体" w:hAnsi="黑体" w:eastAsia="黑体" w:cs="黑体"/>
          <w:color w:val="auto"/>
          <w:sz w:val="24"/>
          <w:szCs w:val="21"/>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ind w:firstLine="4560"/>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p>
      <w:pPr>
        <w:ind w:firstLine="0"/>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委托人（</w:t>
      </w:r>
      <w:r>
        <w:rPr>
          <w:rFonts w:hint="eastAsia" w:ascii="黑体" w:hAnsi="黑体" w:eastAsia="黑体" w:cs="黑体"/>
          <w:color w:val="auto"/>
          <w:sz w:val="24"/>
          <w:szCs w:val="24"/>
          <w:highlight w:val="none"/>
          <w:lang w:val="en-US" w:eastAsia="zh-CN" w:bidi="ar-SA"/>
        </w:rPr>
        <w:t xml:space="preserve">电子签章</w:t>
      </w:r>
      <w:r>
        <w:rPr>
          <w:rFonts w:hint="eastAsia" w:ascii="黑体" w:hAnsi="黑体" w:eastAsia="黑体" w:cs="黑体"/>
          <w:color w:val="auto"/>
          <w:sz w:val="24"/>
          <w:szCs w:val="21"/>
          <w:highlight w:val="none"/>
          <w:lang w:val="en-US" w:eastAsia="zh-CN" w:bidi="ar-SA"/>
        </w:rPr>
        <w:t xml:space="preserve">）：</w:t>
      </w:r>
      <w:r/>
    </w:p>
    <w:p>
      <w:pPr>
        <w:jc w:val="left"/>
        <w:spacing w:line="360" w:lineRule="atLeast"/>
        <w:rPr>
          <w:rFonts w:hint="eastAsia" w:ascii="黑体" w:hAnsi="黑体" w:eastAsia="黑体" w:cs="黑体"/>
          <w:color w:val="auto"/>
          <w:sz w:val="24"/>
          <w:highlight w:val="none"/>
          <w:lang w:val="en-US" w:eastAsia="zh-CN" w:bidi="ar-SA"/>
        </w:rPr>
      </w:pPr>
      <w:r>
        <w:rPr>
          <w:rFonts w:hint="eastAsia" w:ascii="黑体" w:hAnsi="黑体" w:eastAsia="黑体" w:cs="黑体"/>
          <w:color w:val="auto"/>
          <w:sz w:val="24"/>
          <w:highlight w:val="none"/>
          <w:lang w:val="en-US" w:eastAsia="zh-CN" w:bidi="ar-SA"/>
        </w:rPr>
      </w:r>
      <w:r/>
    </w:p>
    <w:p>
      <w:pPr>
        <w:ind w:firstLine="0"/>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法定代表人（签字或盖章）：</w:t>
      </w:r>
      <w:r/>
    </w:p>
    <w:p>
      <w:pPr>
        <w:jc w:val="left"/>
        <w:spacing w:line="360" w:lineRule="atLeast"/>
        <w:rPr>
          <w:rFonts w:hint="eastAsia" w:ascii="黑体" w:hAnsi="黑体" w:eastAsia="黑体" w:cs="黑体"/>
          <w:color w:val="auto"/>
          <w:sz w:val="24"/>
          <w:highlight w:val="none"/>
          <w:lang w:val="en-US" w:eastAsia="zh-CN" w:bidi="ar-SA"/>
        </w:rPr>
      </w:pPr>
      <w:r>
        <w:rPr>
          <w:rFonts w:hint="eastAsia" w:ascii="黑体" w:hAnsi="黑体" w:eastAsia="黑体" w:cs="黑体"/>
          <w:color w:val="auto"/>
          <w:sz w:val="24"/>
          <w:highlight w:val="none"/>
          <w:lang w:val="en-US" w:eastAsia="zh-CN" w:bidi="ar-SA"/>
        </w:rPr>
      </w:r>
      <w:r/>
    </w:p>
    <w:p>
      <w:pPr>
        <w:ind w:firstLine="0"/>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受托人（签字或盖章）：</w:t>
      </w:r>
      <w:r/>
    </w:p>
    <w:p>
      <w:pPr>
        <w:jc w:val="left"/>
        <w:spacing w:line="360" w:lineRule="atLeast"/>
        <w:rPr>
          <w:rFonts w:hint="eastAsia" w:ascii="黑体" w:hAnsi="黑体" w:eastAsia="黑体" w:cs="黑体"/>
          <w:color w:val="auto"/>
          <w:sz w:val="24"/>
          <w:highlight w:val="none"/>
          <w:lang w:val="en-US" w:eastAsia="zh-CN" w:bidi="ar-SA"/>
        </w:rPr>
      </w:pPr>
      <w:r>
        <w:rPr>
          <w:rFonts w:hint="eastAsia" w:ascii="黑体" w:hAnsi="黑体" w:eastAsia="黑体" w:cs="黑体"/>
          <w:color w:val="auto"/>
          <w:sz w:val="24"/>
          <w:highlight w:val="none"/>
          <w:lang w:val="en-US" w:eastAsia="zh-CN" w:bidi="ar-SA"/>
        </w:rPr>
      </w:r>
      <w:r/>
    </w:p>
    <w:p>
      <w:pPr>
        <w:ind w:firstLine="0"/>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日期：</w:t>
      </w:r>
      <w:r/>
    </w:p>
    <w:p>
      <w:pPr>
        <w:jc w:val="center"/>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p>
      <w:pPr>
        <w:jc w:val="center"/>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(受托人身份证复印件附后)</w:t>
      </w:r>
      <w:r/>
    </w:p>
    <w:p>
      <w:pPr>
        <w:jc w:val="both"/>
        <w:spacing w:line="360" w:lineRule="auto"/>
        <w:widowControl w:val="off"/>
        <w:rPr>
          <w:rFonts w:hint="eastAsia" w:ascii="黑体" w:hAnsi="黑体" w:eastAsia="黑体" w:cs="黑体"/>
          <w:b/>
          <w:bCs/>
          <w:color w:val="auto"/>
          <w:highlight w:val="none"/>
          <w:lang w:val="en-US" w:eastAsia="zh-CN" w:bidi="ar-SA"/>
        </w:rPr>
      </w:pPr>
      <w:r>
        <w:rPr>
          <w:rFonts w:hint="eastAsia" w:ascii="黑体" w:hAnsi="黑体" w:eastAsia="黑体" w:cs="黑体"/>
          <w:b/>
          <w:bCs/>
          <w:color w:val="auto"/>
          <w:highlight w:val="none"/>
          <w:lang w:val="en-US" w:eastAsia="zh-CN" w:bidi="ar-SA"/>
        </w:rPr>
      </w:r>
      <w:r/>
    </w:p>
    <w:p>
      <w:pPr>
        <w:jc w:val="center"/>
        <w:spacing w:line="360" w:lineRule="auto"/>
        <w:widowControl w:val="off"/>
        <w:rPr>
          <w:rFonts w:hint="eastAsia" w:ascii="黑体" w:hAnsi="黑体" w:eastAsia="黑体" w:cs="黑体"/>
          <w:color w:val="auto"/>
          <w:sz w:val="28"/>
          <w:highlight w:val="none"/>
          <w:lang w:val="en-US" w:eastAsia="zh-CN" w:bidi="ar-SA"/>
        </w:rPr>
      </w:pPr>
      <w:r>
        <w:rPr>
          <w:rFonts w:hint="eastAsia" w:ascii="黑体" w:hAnsi="黑体" w:eastAsia="黑体" w:cs="黑体"/>
          <w:color w:val="auto"/>
          <w:sz w:val="28"/>
          <w:highlight w:val="none"/>
          <w:lang w:val="en-US" w:eastAsia="zh-CN" w:bidi="ar-SA"/>
        </w:rPr>
      </w:r>
      <w:r/>
    </w:p>
    <w:p>
      <w:pPr>
        <w:ind w:left="0" w:right="0" w:firstLine="950"/>
        <w:jc w:val="both"/>
        <w:spacing w:before="0" w:after="0" w:line="85" w:lineRule="atLeast"/>
        <w:widowControl/>
        <w:rPr>
          <w:rFonts w:hint="eastAsia" w:ascii="黑体" w:hAnsi="黑体" w:eastAsia="黑体" w:cs="黑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8"/>
          <w:szCs w:val="21"/>
          <w:highlight w:val="none"/>
        </w:rPr>
        <w:t xml:space="preserve">         </w:t>
      </w:r>
      <w:r>
        <w:rPr>
          <w:rFonts w:hint="eastAsia" w:ascii="黑体" w:hAnsi="黑体" w:eastAsia="黑体" w:cs="黑体"/>
          <w:b/>
          <w:bCs/>
          <w:color w:val="auto"/>
          <w:sz w:val="28"/>
          <w:szCs w:val="21"/>
          <w:highlight w:val="none"/>
        </w:rPr>
        <w:t xml:space="preserve"> 说明：此委托书打印签字后，扫描原件上传。</w:t>
      </w:r>
      <w:r/>
    </w:p>
    <w:p>
      <w:pPr>
        <w:jc w:val="center"/>
        <w:keepLines w:val="0"/>
        <w:keepNext w:val="0"/>
        <w:spacing w:before="260" w:after="260" w:line="360" w:lineRule="auto"/>
        <w:widowControl w:val="off"/>
        <w:rPr>
          <w:rFonts w:hint="eastAsia" w:ascii="黑体" w:hAnsi="黑体" w:eastAsia="黑体" w:cs="黑体"/>
          <w:b/>
          <w:bCs/>
          <w:color w:val="auto"/>
          <w:sz w:val="28"/>
          <w:szCs w:val="32"/>
          <w:highlight w:val="none"/>
          <w:lang w:val="en-US" w:eastAsia="zh-CN" w:bidi="ar-SA"/>
        </w:rPr>
        <w:outlineLvl w:val="9"/>
      </w:pPr>
      <w:r/>
      <w:bookmarkStart w:id="57" w:name="_Toc80122307"/>
      <w:r/>
      <w:r/>
    </w:p>
    <w:p>
      <w:pPr>
        <w:jc w:val="center"/>
        <w:keepLines w:val="0"/>
        <w:keepNext w:val="0"/>
        <w:spacing w:before="260" w:after="260" w:line="360" w:lineRule="auto"/>
        <w:widowControl w:val="off"/>
        <w:rPr>
          <w:rFonts w:hint="eastAsia" w:ascii="黑体" w:hAnsi="黑体" w:eastAsia="黑体" w:cs="黑体"/>
          <w:b/>
          <w:bCs/>
          <w:color w:val="auto"/>
          <w:sz w:val="28"/>
          <w:szCs w:val="32"/>
          <w:highlight w:val="none"/>
          <w:lang w:val="en-US" w:eastAsia="zh-CN" w:bidi="ar-SA"/>
        </w:rPr>
        <w:outlineLvl w:val="1"/>
      </w:pPr>
      <w:r>
        <w:rPr>
          <w:rFonts w:hint="eastAsia" w:ascii="黑体" w:hAnsi="黑体" w:eastAsia="黑体" w:cs="黑体"/>
          <w:b/>
          <w:bCs/>
          <w:color w:val="auto"/>
          <w:sz w:val="28"/>
          <w:szCs w:val="21"/>
          <w:highlight w:val="none"/>
          <w:lang w:val="en-US" w:eastAsia="zh-CN" w:bidi="ar-SA"/>
        </w:rPr>
        <w:br w:type="page" w:clear="all"/>
      </w:r>
      <w:bookmarkStart w:id="58" w:name="_Toc6068"/>
      <w:r/>
      <w:bookmarkStart w:id="59" w:name="_Toc7229"/>
      <w:r>
        <w:rPr>
          <w:rFonts w:hint="eastAsia" w:ascii="黑体" w:hAnsi="黑体" w:eastAsia="黑体" w:cs="黑体"/>
          <w:b/>
          <w:bCs/>
          <w:color w:val="auto"/>
          <w:sz w:val="28"/>
          <w:szCs w:val="21"/>
          <w:highlight w:val="none"/>
          <w:lang w:val="en-US" w:eastAsia="zh-CN" w:bidi="ar-SA"/>
        </w:rPr>
        <w:t xml:space="preserve">六、中小企业声明函</w:t>
      </w:r>
      <w:bookmarkEnd w:id="57"/>
      <w:r/>
      <w:bookmarkEnd w:id="58"/>
      <w:r/>
      <w:bookmarkEnd w:id="59"/>
      <w:r/>
      <w:r/>
    </w:p>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项目名称：</w:t>
      </w:r>
      <w:r/>
    </w:p>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项目编号：</w:t>
      </w:r>
      <w:r/>
    </w:p>
    <w:p>
      <w:pPr>
        <w:ind w:firstLine="480"/>
        <w:jc w:val="both"/>
        <w:spacing w:line="360" w:lineRule="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本公司郑重声明，根据《政府采购促进中小企业发展管理办法》（财库﹝2020﹞46号）的规定，本公司参加</w:t>
      </w:r>
      <w:r>
        <w:rPr>
          <w:rFonts w:hint="eastAsia" w:ascii="黑体" w:hAnsi="黑体" w:eastAsia="黑体" w:cs="黑体"/>
          <w:color w:val="auto"/>
          <w:sz w:val="24"/>
          <w:szCs w:val="24"/>
          <w:highlight w:val="none"/>
          <w:u w:val="single"/>
          <w:lang w:val="en-US" w:eastAsia="zh-CN" w:bidi="ar-SA"/>
        </w:rPr>
        <w:t xml:space="preserve">（单位名称）</w:t>
      </w:r>
      <w:r>
        <w:rPr>
          <w:rFonts w:hint="eastAsia" w:ascii="黑体" w:hAnsi="黑体" w:eastAsia="黑体" w:cs="黑体"/>
          <w:color w:val="auto"/>
          <w:sz w:val="24"/>
          <w:szCs w:val="24"/>
          <w:highlight w:val="none"/>
          <w:lang w:val="en-US" w:eastAsia="zh-CN" w:bidi="ar-SA"/>
        </w:rPr>
        <w:t xml:space="preserve">的</w:t>
      </w:r>
      <w:r>
        <w:rPr>
          <w:rFonts w:hint="eastAsia" w:ascii="黑体" w:hAnsi="黑体" w:eastAsia="黑体" w:cs="黑体"/>
          <w:color w:val="auto"/>
          <w:sz w:val="24"/>
          <w:szCs w:val="24"/>
          <w:highlight w:val="none"/>
          <w:u w:val="single"/>
          <w:lang w:val="en-US" w:eastAsia="zh-CN" w:bidi="ar-SA"/>
        </w:rPr>
        <w:t xml:space="preserve">（项目名称）</w:t>
      </w:r>
      <w:r>
        <w:rPr>
          <w:rFonts w:hint="eastAsia" w:ascii="黑体" w:hAnsi="黑体" w:eastAsia="黑体" w:cs="黑体"/>
          <w:color w:val="auto"/>
          <w:sz w:val="24"/>
          <w:szCs w:val="24"/>
          <w:highlight w:val="none"/>
          <w:lang w:val="en-US" w:eastAsia="zh-CN" w:bidi="ar-SA"/>
        </w:rPr>
        <w:t xml:space="preserve">采购活动，工程的施工全部由符合政策要求的中小企业承接。相关企业的具体情况如下：</w:t>
      </w:r>
      <w:r/>
    </w:p>
    <w:p>
      <w:pPr>
        <w:ind w:firstLine="480"/>
        <w:jc w:val="both"/>
        <w:spacing w:line="360" w:lineRule="auto"/>
        <w:widowControl w:val="off"/>
        <w:rPr>
          <w:rFonts w:hint="eastAsia" w:ascii="黑体" w:hAnsi="黑体" w:eastAsia="黑体" w:cs="黑体"/>
          <w:color w:val="auto"/>
          <w:spacing w:val="6"/>
          <w:sz w:val="24"/>
          <w:szCs w:val="24"/>
          <w:highlight w:val="none"/>
          <w:lang w:val="en-US" w:eastAsia="zh-CN" w:bidi="ar-SA"/>
        </w:rPr>
      </w:pPr>
      <w:r>
        <w:rPr>
          <w:rFonts w:hint="eastAsia" w:ascii="黑体" w:hAnsi="黑体" w:eastAsia="黑体" w:cs="黑体"/>
          <w:color w:val="auto"/>
          <w:sz w:val="24"/>
          <w:szCs w:val="24"/>
          <w:highlight w:val="none"/>
          <w:u w:val="single"/>
          <w:lang w:val="en-US" w:eastAsia="zh-CN" w:bidi="ar-SA"/>
        </w:rPr>
        <w:t xml:space="preserve">（标的名称）</w:t>
      </w:r>
      <w:r>
        <w:rPr>
          <w:rFonts w:hint="eastAsia" w:ascii="黑体" w:hAnsi="黑体" w:eastAsia="黑体" w:cs="黑体"/>
          <w:color w:val="auto"/>
          <w:sz w:val="24"/>
          <w:szCs w:val="24"/>
          <w:highlight w:val="none"/>
          <w:lang w:val="en-US" w:eastAsia="zh-CN" w:bidi="ar-SA"/>
        </w:rPr>
        <w:t xml:space="preserve">，属于</w:t>
      </w:r>
      <w:r>
        <w:rPr>
          <w:rFonts w:hint="eastAsia" w:ascii="黑体" w:hAnsi="黑体" w:eastAsia="黑体" w:cs="黑体"/>
          <w:color w:val="auto"/>
          <w:sz w:val="24"/>
          <w:szCs w:val="24"/>
          <w:highlight w:val="none"/>
          <w:u w:val="single"/>
          <w:lang w:val="en-US" w:eastAsia="zh-CN" w:bidi="ar-SA"/>
        </w:rPr>
        <w:t xml:space="preserve">（建筑业）</w:t>
      </w:r>
      <w:r>
        <w:rPr>
          <w:rFonts w:hint="eastAsia" w:ascii="黑体" w:hAnsi="黑体" w:eastAsia="黑体" w:cs="黑体"/>
          <w:color w:val="auto"/>
          <w:sz w:val="24"/>
          <w:szCs w:val="24"/>
          <w:highlight w:val="none"/>
          <w:lang w:val="en-US" w:eastAsia="zh-CN" w:bidi="ar-SA"/>
        </w:rPr>
        <w:t xml:space="preserve">； 承建（承接）企业为</w:t>
      </w:r>
      <w:r>
        <w:rPr>
          <w:rFonts w:hint="eastAsia" w:ascii="黑体" w:hAnsi="黑体" w:eastAsia="黑体" w:cs="黑体"/>
          <w:color w:val="auto"/>
          <w:sz w:val="24"/>
          <w:szCs w:val="24"/>
          <w:highlight w:val="none"/>
          <w:u w:val="single"/>
          <w:lang w:val="en-US" w:eastAsia="zh-CN" w:bidi="ar-SA"/>
        </w:rPr>
        <w:t xml:space="preserve">（企业名称）</w:t>
      </w:r>
      <w:r>
        <w:rPr>
          <w:rFonts w:hint="eastAsia" w:ascii="黑体" w:hAnsi="黑体" w:eastAsia="黑体" w:cs="黑体"/>
          <w:color w:val="auto"/>
          <w:sz w:val="24"/>
          <w:szCs w:val="24"/>
          <w:highlight w:val="none"/>
          <w:lang w:val="en-US" w:eastAsia="zh-CN" w:bidi="ar-SA"/>
        </w:rPr>
        <w:t xml:space="preserve">，从业人员</w:t>
      </w:r>
      <w:r>
        <w:rPr>
          <w:rFonts w:hint="eastAsia" w:ascii="黑体" w:hAnsi="黑体" w:eastAsia="黑体" w:cs="黑体"/>
          <w:color w:val="auto"/>
          <w:sz w:val="24"/>
          <w:szCs w:val="24"/>
          <w:highlight w:val="none"/>
          <w:u w:val="single"/>
          <w:lang w:val="en-US" w:eastAsia="zh-CN" w:bidi="ar-SA"/>
        </w:rPr>
        <w:t xml:space="preserve">     </w:t>
      </w:r>
      <w:r>
        <w:rPr>
          <w:rFonts w:hint="eastAsia" w:ascii="黑体" w:hAnsi="黑体" w:eastAsia="黑体" w:cs="黑体"/>
          <w:color w:val="auto"/>
          <w:sz w:val="24"/>
          <w:szCs w:val="24"/>
          <w:highlight w:val="none"/>
          <w:lang w:val="en-US" w:eastAsia="zh-CN" w:bidi="ar-SA"/>
        </w:rPr>
        <w:t xml:space="preserve">人，营业收入为</w:t>
      </w:r>
      <w:r>
        <w:rPr>
          <w:rFonts w:hint="eastAsia" w:ascii="黑体" w:hAnsi="黑体" w:eastAsia="黑体" w:cs="黑体"/>
          <w:color w:val="auto"/>
          <w:sz w:val="24"/>
          <w:szCs w:val="24"/>
          <w:highlight w:val="none"/>
          <w:u w:val="single"/>
          <w:lang w:val="en-US" w:eastAsia="zh-CN" w:bidi="ar-SA"/>
        </w:rPr>
        <w:t xml:space="preserve">      </w:t>
      </w:r>
      <w:r>
        <w:rPr>
          <w:rFonts w:hint="eastAsia" w:ascii="黑体" w:hAnsi="黑体" w:eastAsia="黑体" w:cs="黑体"/>
          <w:color w:val="auto"/>
          <w:sz w:val="24"/>
          <w:szCs w:val="24"/>
          <w:highlight w:val="none"/>
          <w:lang w:val="en-US" w:eastAsia="zh-CN" w:bidi="ar-SA"/>
        </w:rPr>
        <w:t xml:space="preserve">万元，资产总额为</w:t>
      </w:r>
      <w:r>
        <w:rPr>
          <w:rFonts w:hint="eastAsia" w:ascii="黑体" w:hAnsi="黑体" w:eastAsia="黑体" w:cs="黑体"/>
          <w:color w:val="auto"/>
          <w:sz w:val="24"/>
          <w:szCs w:val="24"/>
          <w:highlight w:val="none"/>
          <w:u w:val="single"/>
          <w:lang w:val="en-US" w:eastAsia="zh-CN" w:bidi="ar-SA"/>
        </w:rPr>
        <w:t xml:space="preserve">    </w:t>
      </w:r>
      <w:r>
        <w:rPr>
          <w:rFonts w:hint="eastAsia" w:ascii="黑体" w:hAnsi="黑体" w:eastAsia="黑体" w:cs="黑体"/>
          <w:color w:val="auto"/>
          <w:sz w:val="24"/>
          <w:szCs w:val="24"/>
          <w:highlight w:val="none"/>
          <w:lang w:val="en-US" w:eastAsia="zh-CN" w:bidi="ar-SA"/>
        </w:rPr>
        <w:t xml:space="preserve">万元，属于</w:t>
      </w:r>
      <w:r>
        <w:rPr>
          <w:rFonts w:hint="eastAsia" w:ascii="黑体" w:hAnsi="黑体" w:eastAsia="黑体" w:cs="黑体"/>
          <w:color w:val="auto"/>
          <w:sz w:val="24"/>
          <w:szCs w:val="24"/>
          <w:highlight w:val="none"/>
          <w:u w:val="single"/>
          <w:lang w:val="en-US" w:eastAsia="zh-CN" w:bidi="ar-SA"/>
        </w:rPr>
        <w:t xml:space="preserve">       （</w:t>
      </w:r>
      <w:r>
        <w:rPr>
          <w:rFonts w:hint="eastAsia" w:ascii="黑体" w:hAnsi="黑体" w:eastAsia="黑体" w:cs="黑体"/>
          <w:b/>
          <w:color w:val="auto"/>
          <w:sz w:val="24"/>
          <w:szCs w:val="24"/>
          <w:highlight w:val="none"/>
          <w:u w:val="single"/>
          <w:lang w:val="en-US" w:eastAsia="zh-CN" w:bidi="ar-SA"/>
        </w:rPr>
        <w:t xml:space="preserve">此处请填空</w:t>
      </w:r>
      <w:r>
        <w:rPr>
          <w:rFonts w:hint="eastAsia" w:ascii="黑体" w:hAnsi="黑体" w:eastAsia="黑体" w:cs="黑体"/>
          <w:color w:val="auto"/>
          <w:sz w:val="24"/>
          <w:szCs w:val="24"/>
          <w:highlight w:val="none"/>
          <w:u w:val="single"/>
          <w:lang w:val="en-US" w:eastAsia="zh-CN" w:bidi="ar-SA"/>
        </w:rPr>
        <w:t xml:space="preserve">）（中型企业、小型企业、微型企业</w:t>
      </w:r>
      <w:r>
        <w:rPr>
          <w:rFonts w:hint="eastAsia" w:ascii="黑体" w:hAnsi="黑体" w:eastAsia="黑体" w:cs="黑体"/>
          <w:b/>
          <w:color w:val="auto"/>
          <w:sz w:val="24"/>
          <w:szCs w:val="24"/>
          <w:highlight w:val="none"/>
          <w:u w:val="single"/>
          <w:lang w:val="en-US" w:eastAsia="zh-CN" w:bidi="ar-SA"/>
        </w:rPr>
        <w:t xml:space="preserve">，请填空！</w:t>
      </w:r>
      <w:r>
        <w:rPr>
          <w:rFonts w:hint="eastAsia" w:ascii="黑体" w:hAnsi="黑体" w:eastAsia="黑体" w:cs="黑体"/>
          <w:color w:val="auto"/>
          <w:sz w:val="24"/>
          <w:szCs w:val="24"/>
          <w:highlight w:val="none"/>
          <w:u w:val="single"/>
          <w:lang w:val="en-US" w:eastAsia="zh-CN" w:bidi="ar-SA"/>
        </w:rPr>
        <w:t xml:space="preserve">）</w:t>
      </w:r>
      <w:r>
        <w:rPr>
          <w:rFonts w:hint="eastAsia" w:ascii="黑体" w:hAnsi="黑体" w:eastAsia="黑体" w:cs="黑体"/>
          <w:color w:val="auto"/>
          <w:sz w:val="24"/>
          <w:szCs w:val="24"/>
          <w:highlight w:val="none"/>
          <w:lang w:val="en-US" w:eastAsia="zh-CN" w:bidi="ar-SA"/>
        </w:rPr>
        <w:t xml:space="preserve">；</w:t>
      </w:r>
      <w:r/>
    </w:p>
    <w:p>
      <w:pPr>
        <w:ind w:firstLine="482"/>
        <w:jc w:val="both"/>
        <w:spacing w:line="360" w:lineRule="auto"/>
        <w:widowControl w:val="off"/>
        <w:rPr>
          <w:rFonts w:hint="eastAsia" w:ascii="黑体" w:hAnsi="黑体" w:eastAsia="黑体" w:cs="黑体"/>
          <w:b/>
          <w:color w:val="auto"/>
          <w:spacing w:val="6"/>
          <w:sz w:val="24"/>
          <w:szCs w:val="24"/>
          <w:highlight w:val="none"/>
          <w:lang w:val="en-US" w:eastAsia="zh-CN" w:bidi="ar-SA"/>
        </w:rPr>
      </w:pPr>
      <w:r>
        <w:rPr>
          <w:rFonts w:hint="eastAsia" w:ascii="黑体" w:hAnsi="黑体" w:eastAsia="黑体" w:cs="黑体"/>
          <w:b/>
          <w:color w:val="auto"/>
          <w:sz w:val="24"/>
          <w:szCs w:val="24"/>
          <w:highlight w:val="none"/>
          <w:lang w:val="en-US" w:eastAsia="zh-CN" w:bidi="ar-SA"/>
        </w:rPr>
        <w:t xml:space="preserve">以上企业，不属于大企业的分支机构，不存在控股股东为大企业的情形，也不存在与大企业的负责人为同一人的情形。</w:t>
      </w:r>
      <w:r/>
    </w:p>
    <w:p>
      <w:pPr>
        <w:ind w:firstLine="480"/>
        <w:jc w:val="both"/>
        <w:spacing w:line="360" w:lineRule="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注：本项目采购属于</w:t>
      </w:r>
      <w:r>
        <w:rPr>
          <w:rFonts w:hint="eastAsia" w:ascii="黑体" w:hAnsi="黑体" w:eastAsia="黑体" w:cs="黑体"/>
          <w:color w:val="auto"/>
          <w:sz w:val="24"/>
          <w:szCs w:val="24"/>
          <w:highlight w:val="none"/>
          <w:u w:val="single"/>
          <w:lang w:val="en-US" w:eastAsia="zh-CN" w:bidi="ar-SA"/>
        </w:rPr>
        <w:t xml:space="preserve"> 建筑业 </w:t>
      </w:r>
      <w:r>
        <w:rPr>
          <w:rFonts w:hint="eastAsia" w:ascii="黑体" w:hAnsi="黑体" w:eastAsia="黑体" w:cs="黑体"/>
          <w:color w:val="auto"/>
          <w:sz w:val="24"/>
          <w:szCs w:val="24"/>
          <w:highlight w:val="none"/>
          <w:lang w:val="en-US" w:eastAsia="zh-CN" w:bidi="ar-SA"/>
        </w:rPr>
        <w:t xml:space="preserve">。</w:t>
      </w:r>
      <w:r/>
    </w:p>
    <w:p>
      <w:pPr>
        <w:ind w:firstLine="480"/>
        <w:jc w:val="both"/>
        <w:spacing w:line="360" w:lineRule="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本企业对上述声明内容的真实性负责。如有虚假，将依法承担相应责任。</w:t>
      </w:r>
      <w:r/>
    </w:p>
    <w:p>
      <w:pPr>
        <w:ind w:firstLine="482"/>
        <w:jc w:val="left"/>
        <w:spacing w:line="360" w:lineRule="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b/>
          <w:color w:val="auto"/>
          <w:sz w:val="24"/>
          <w:szCs w:val="24"/>
          <w:highlight w:val="none"/>
          <w:lang w:val="en-US" w:eastAsia="zh-CN" w:bidi="ar-SA"/>
        </w:rPr>
        <w:t xml:space="preserve">备注：从业人员、营业收入、资产总额填报上一年度数据，无上一年度数据的新成立企业可不填报</w:t>
      </w:r>
      <w:r>
        <w:rPr>
          <w:rFonts w:hint="eastAsia" w:ascii="黑体" w:hAnsi="黑体" w:eastAsia="黑体" w:cs="黑体"/>
          <w:color w:val="auto"/>
          <w:sz w:val="24"/>
          <w:szCs w:val="24"/>
          <w:highlight w:val="none"/>
          <w:lang w:val="en-US" w:eastAsia="zh-CN" w:bidi="ar-SA"/>
        </w:rPr>
        <w:t xml:space="preserve">。</w:t>
      </w:r>
      <w:r/>
    </w:p>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p>
      <w:pPr>
        <w:jc w:val="righ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p>
      <w:pPr>
        <w:ind w:firstLine="3120"/>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    供应商：（</w:t>
      </w:r>
      <w:r>
        <w:rPr>
          <w:rFonts w:hint="eastAsia" w:ascii="黑体" w:hAnsi="黑体" w:eastAsia="黑体" w:cs="黑体"/>
          <w:color w:val="auto"/>
          <w:sz w:val="24"/>
          <w:szCs w:val="24"/>
          <w:highlight w:val="none"/>
          <w:lang w:val="en-US" w:eastAsia="zh-CN" w:bidi="ar-SA"/>
        </w:rPr>
        <w:t xml:space="preserve">电子签章</w:t>
      </w:r>
      <w:r>
        <w:rPr>
          <w:rFonts w:hint="eastAsia" w:ascii="黑体" w:hAnsi="黑体" w:eastAsia="黑体" w:cs="黑体"/>
          <w:color w:val="auto"/>
          <w:sz w:val="24"/>
          <w:szCs w:val="21"/>
          <w:highlight w:val="none"/>
          <w:lang w:val="en-US" w:eastAsia="zh-CN" w:bidi="ar-SA"/>
        </w:rPr>
        <w:t xml:space="preserve">）</w:t>
      </w:r>
      <w:r/>
    </w:p>
    <w:p>
      <w:pPr>
        <w:ind w:firstLine="480"/>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                        </w:t>
      </w:r>
      <w:r/>
    </w:p>
    <w:p>
      <w:pPr>
        <w:ind w:firstLine="3600"/>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日期：  </w:t>
      </w:r>
      <w:r/>
    </w:p>
    <w:p>
      <w:pPr>
        <w:jc w:val="center"/>
        <w:spacing w:line="360" w:lineRule="auto"/>
        <w:widowControl w:val="off"/>
        <w:rPr>
          <w:rFonts w:hint="eastAsia" w:ascii="黑体" w:hAnsi="黑体" w:eastAsia="黑体" w:cs="黑体"/>
          <w:color w:val="auto"/>
          <w:highlight w:val="none"/>
        </w:rPr>
        <w:sectPr>
          <w:headerReference w:type="default" r:id="rId10"/>
          <w:footnotePr/>
          <w:endnotePr/>
          <w:type w:val="nextPage"/>
          <w:pgSz w:w="11906" w:h="16838" w:orient="portrait"/>
          <w:pgMar w:top="1440" w:right="1080" w:bottom="1440" w:left="1080" w:header="851" w:footer="992" w:gutter="0"/>
          <w:pgNumType w:start="1"/>
          <w:cols w:num="1" w:sep="0" w:space="720" w:equalWidth="1"/>
          <w:docGrid w:linePitch="360"/>
        </w:sectPr>
      </w:pPr>
      <w:r>
        <w:rPr>
          <w:rFonts w:hint="eastAsia" w:ascii="黑体" w:hAnsi="黑体" w:eastAsia="黑体" w:cs="黑体"/>
          <w:color w:val="auto"/>
          <w:highlight w:val="none"/>
        </w:rPr>
      </w:r>
      <w:r/>
    </w:p>
    <w:p>
      <w:pPr>
        <w:ind w:left="0" w:firstLine="0"/>
        <w:jc w:val="both"/>
        <w:spacing w:after="0" w:line="360" w:lineRule="auto"/>
        <w:rPr>
          <w:rFonts w:hint="eastAsia" w:ascii="黑体" w:hAnsi="黑体" w:eastAsia="黑体" w:cs="黑体"/>
          <w:b w:val="0"/>
          <w:bCs w:val="0"/>
          <w:color w:val="auto"/>
          <w:sz w:val="24"/>
          <w:highlight w:val="none"/>
          <w:lang w:val="en-US" w:eastAsia="zh-CN" w:bidi="ar-SA"/>
        </w:rPr>
      </w:pPr>
      <w:r>
        <w:rPr>
          <w:rFonts w:hint="eastAsia" w:ascii="黑体" w:hAnsi="黑体" w:eastAsia="黑体" w:cs="黑体"/>
          <w:color w:val="auto"/>
          <w:sz w:val="22"/>
          <w:szCs w:val="22"/>
          <w:highlight w:val="none"/>
          <w:lang w:val="en-US" w:eastAsia="zh-CN" w:bidi="ar-SA"/>
        </w:rPr>
        <w:t xml:space="preserve"> </w:t>
      </w:r>
      <w:r>
        <w:rPr>
          <w:rFonts w:hint="eastAsia" w:ascii="黑体" w:hAnsi="黑体" w:eastAsia="黑体" w:cs="黑体"/>
          <w:b w:val="0"/>
          <w:bCs w:val="0"/>
          <w:color w:val="auto"/>
          <w:sz w:val="24"/>
          <w:highlight w:val="none"/>
          <w:lang w:val="en-US" w:eastAsia="zh-CN" w:bidi="ar-SA"/>
        </w:rPr>
        <w:t xml:space="preserve">说明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firstLine="482"/>
        <w:jc w:val="both"/>
        <w:spacing w:after="0" w:line="360" w:lineRule="auto"/>
        <w:rPr>
          <w:rFonts w:hint="eastAsia" w:ascii="黑体" w:hAnsi="黑体" w:eastAsia="黑体" w:cs="黑体"/>
          <w:b w:val="0"/>
          <w:bCs w:val="0"/>
          <w:color w:val="auto"/>
          <w:sz w:val="24"/>
          <w:highlight w:val="none"/>
          <w:lang w:val="en-US" w:eastAsia="zh-CN" w:bidi="ar-SA"/>
        </w:rPr>
      </w:pPr>
      <w:r>
        <w:rPr>
          <w:rFonts w:hint="eastAsia" w:ascii="黑体" w:hAnsi="黑体" w:eastAsia="黑体" w:cs="黑体"/>
          <w:b w:val="0"/>
          <w:bCs w:val="0"/>
          <w:color w:val="auto"/>
          <w:sz w:val="24"/>
          <w:highlight w:val="none"/>
          <w:lang w:val="en-US" w:eastAsia="zh-CN" w:bidi="ar-SA"/>
        </w:rPr>
        <w:t xml:space="preserve">2、从业人员、营业收入、资产总额填报响应供应商上一年度数据，无上一年度数据的新成立企业可不填报。</w:t>
      </w:r>
      <w:r/>
    </w:p>
    <w:p>
      <w:pPr>
        <w:ind w:left="0" w:firstLine="482"/>
        <w:jc w:val="both"/>
        <w:spacing w:after="0" w:line="360" w:lineRule="auto"/>
        <w:rPr>
          <w:rFonts w:hint="eastAsia" w:ascii="黑体" w:hAnsi="黑体" w:eastAsia="黑体" w:cs="黑体"/>
          <w:b w:val="0"/>
          <w:bCs w:val="0"/>
          <w:color w:val="auto"/>
          <w:sz w:val="24"/>
          <w:highlight w:val="none"/>
          <w:lang w:val="en-US" w:eastAsia="zh-CN" w:bidi="ar-SA"/>
        </w:rPr>
      </w:pPr>
      <w:r>
        <w:rPr>
          <w:rFonts w:hint="eastAsia" w:ascii="黑体" w:hAnsi="黑体" w:eastAsia="黑体" w:cs="黑体"/>
          <w:b w:val="0"/>
          <w:bCs w:val="0"/>
          <w:color w:val="auto"/>
          <w:sz w:val="24"/>
          <w:highlight w:val="none"/>
          <w:lang w:val="en-US" w:eastAsia="zh-CN" w:bidi="ar-SA"/>
        </w:rPr>
        <w:t xml:space="preserve">3、成交供应商为中型、小型、微型企业的，采购人或者其委托的采购代理机构有权随中标、成交结果同时公告其《中小企业声明函》，接受社会监督。</w:t>
      </w:r>
      <w:r/>
    </w:p>
    <w:p>
      <w:pPr>
        <w:ind w:left="0" w:firstLine="482"/>
        <w:jc w:val="both"/>
        <w:spacing w:after="0" w:line="360" w:lineRule="auto"/>
        <w:rPr>
          <w:rFonts w:hint="eastAsia" w:ascii="黑体" w:hAnsi="黑体" w:eastAsia="黑体" w:cs="黑体"/>
          <w:b w:val="0"/>
          <w:bCs w:val="0"/>
          <w:color w:val="auto"/>
          <w:sz w:val="24"/>
          <w:highlight w:val="none"/>
          <w:lang w:val="en-US" w:eastAsia="zh-CN" w:bidi="ar-SA"/>
        </w:rPr>
      </w:pPr>
      <w:r>
        <w:rPr>
          <w:rFonts w:hint="eastAsia" w:ascii="黑体" w:hAnsi="黑体" w:eastAsia="黑体" w:cs="黑体"/>
          <w:b w:val="0"/>
          <w:bCs w:val="0"/>
          <w:color w:val="auto"/>
          <w:sz w:val="24"/>
          <w:highlight w:val="none"/>
          <w:lang w:val="en-US" w:eastAsia="zh-CN" w:bidi="ar-SA"/>
        </w:rPr>
        <w:t xml:space="preserve">4、执行江苏省财政厅关于进一步加大政府采购支持中小企业力度的通知（苏财购〔2022〕45号）的规定。</w:t>
      </w:r>
      <w:r/>
    </w:p>
    <w:p>
      <w:pPr>
        <w:ind w:left="0" w:firstLine="482"/>
        <w:jc w:val="both"/>
        <w:spacing w:after="0" w:line="360" w:lineRule="auto"/>
        <w:rPr>
          <w:rFonts w:hint="eastAsia" w:ascii="黑体" w:hAnsi="黑体" w:eastAsia="黑体" w:cs="黑体"/>
          <w:b w:val="0"/>
          <w:bCs w:val="0"/>
          <w:color w:val="auto"/>
          <w:sz w:val="24"/>
          <w:highlight w:val="none"/>
          <w:lang w:val="en-US" w:eastAsia="zh-CN" w:bidi="ar-SA"/>
        </w:rPr>
      </w:pPr>
      <w:r>
        <w:rPr>
          <w:rFonts w:hint="eastAsia" w:ascii="黑体" w:hAnsi="黑体" w:eastAsia="黑体" w:cs="黑体"/>
          <w:b w:val="0"/>
          <w:bCs w:val="0"/>
          <w:color w:val="auto"/>
          <w:sz w:val="24"/>
          <w:highlight w:val="none"/>
          <w:lang w:val="en-US" w:eastAsia="zh-CN" w:bidi="ar-SA"/>
        </w:rPr>
        <w:t xml:space="preserve">5、响应供应商提供的《中小企业声明函》与事实不符的，依照《中华人民共和国政府采购法》第七十七条第一款的规定追究法律责任。</w:t>
      </w:r>
      <w:r/>
    </w:p>
    <w:p>
      <w:pPr>
        <w:ind w:firstLine="480"/>
        <w:jc w:val="left"/>
        <w:keepLines w:val="0"/>
        <w:keepNext w:val="0"/>
        <w:pageBreakBefore w:val="0"/>
        <w:spacing w:before="100" w:beforeAutospacing="0" w:after="100" w:afterAutospacing="0" w:line="360" w:lineRule="auto"/>
        <w:rPr>
          <w:rFonts w:hint="eastAsia" w:ascii="黑体" w:hAnsi="黑体" w:eastAsia="黑体" w:cs="黑体"/>
          <w:color w:val="auto"/>
          <w:sz w:val="22"/>
          <w:szCs w:val="22"/>
          <w:highlight w:val="none"/>
          <w:lang w:val="en-US" w:eastAsia="zh-CN" w:bidi="ar-SA"/>
        </w:rPr>
      </w:pPr>
      <w:r>
        <w:rPr>
          <w:rFonts w:hint="eastAsia" w:ascii="黑体" w:hAnsi="黑体" w:eastAsia="黑体" w:cs="黑体"/>
          <w:b/>
          <w:bCs/>
          <w:color w:val="auto"/>
          <w:sz w:val="24"/>
          <w:szCs w:val="24"/>
          <w:highlight w:val="none"/>
          <w:lang w:val="en-US" w:eastAsia="zh-CN" w:bidi="ar-SA"/>
        </w:rPr>
        <w:t xml:space="preserve">6、《中小企业声明函》查询渠道用微信搜索“中小企业规模类型自测小程序”。</w:t>
      </w:r>
      <w:r/>
    </w:p>
    <w:p>
      <w:pPr>
        <w:jc w:val="center"/>
        <w:keepLines w:val="0"/>
        <w:keepNext w:val="0"/>
        <w:pageBreakBefore w:val="0"/>
        <w:spacing w:beforeAutospacing="0" w:afterAutospacing="0" w:line="360" w:lineRule="auto"/>
        <w:rPr>
          <w:rFonts w:hint="eastAsia" w:ascii="黑体" w:hAnsi="黑体" w:eastAsia="黑体" w:cs="黑体"/>
          <w:color w:val="auto"/>
          <w:sz w:val="30"/>
          <w:szCs w:val="30"/>
          <w:highlight w:val="none"/>
        </w:rPr>
        <w:sectPr>
          <w:footerReference w:type="even" r:id="rId12"/>
          <w:footnotePr/>
          <w:endnotePr/>
          <w:type w:val="nextPage"/>
          <w:pgSz w:w="11906" w:h="16838" w:orient="portrait"/>
          <w:pgMar w:top="1440" w:right="1080" w:bottom="1440" w:left="1080" w:header="851" w:footer="992" w:gutter="0"/>
          <w:cols w:num="1" w:sep="0" w:space="720" w:equalWidth="1"/>
          <w:docGrid w:linePitch="360"/>
        </w:sectPr>
      </w:pPr>
      <w:r>
        <w:rPr>
          <w:rFonts w:hint="eastAsia" w:ascii="黑体" w:hAnsi="黑体" w:eastAsia="黑体" w:cs="黑体"/>
          <w:color w:val="auto"/>
          <w:sz w:val="24"/>
          <w:szCs w:val="24"/>
          <w:highlight w:val="none"/>
          <w:lang w:val="en-US" w:eastAsia="zh-CN" w:bidi="ar-SA"/>
        </w:rPr>
        <mc:AlternateContent>
          <mc:Choice Requires="wpg">
            <w:drawing>
              <wp:inline xmlns:wp="http://schemas.openxmlformats.org/drawingml/2006/wordprocessingDrawing" distT="0" distB="0" distL="0" distR="0">
                <wp:extent cx="1887855" cy="4225925"/>
                <wp:effectExtent l="0" t="0" r="17145" b="3175"/>
                <wp:docPr id="13" name="图片 2"/>
                <wp:cNvGraphicFramePr/>
                <a:graphic xmlns:a="http://schemas.openxmlformats.org/drawingml/2006/main">
                  <a:graphicData uri="http://schemas.openxmlformats.org/drawingml/2006/picture">
                    <pic:pic xmlns:pic="http://schemas.openxmlformats.org/drawingml/2006/picture">
                      <pic:nvPicPr>
                        <pic:cNvPr id="6" name="图片 2"/>
                        <pic:cNvPicPr/>
                        <pic:nvPr/>
                      </pic:nvPicPr>
                      <pic:blipFill>
                        <a:blip r:embed="rId18"/>
                        <a:srcRect l="0" t="4825" r="0" b="0"/>
                        <a:stretch/>
                      </pic:blipFill>
                      <pic:spPr bwMode="auto">
                        <a:xfrm>
                          <a:off x="0" y="0"/>
                          <a:ext cx="1887855" cy="4225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48.7pt;height:332.8pt;mso-wrap-distance-left:0.0pt;mso-wrap-distance-top:0.0pt;mso-wrap-distance-right:0.0pt;mso-wrap-distance-bottom:0.0pt;" stroked="f">
                <v:path textboxrect="0,0,0,0"/>
                <v:imagedata r:id="rId18" o:title=""/>
              </v:shape>
            </w:pict>
          </mc:Fallback>
        </mc:AlternateContent>
      </w:r>
      <w:r/>
    </w:p>
    <w:p>
      <w:pPr>
        <w:jc w:val="center"/>
        <w:spacing w:line="360" w:lineRule="auto"/>
        <w:widowControl w:val="off"/>
        <w:rPr>
          <w:rFonts w:hint="eastAsia" w:ascii="黑体" w:hAnsi="黑体" w:eastAsia="黑体" w:cs="黑体"/>
          <w:color w:val="auto"/>
          <w:sz w:val="28"/>
          <w:highlight w:val="none"/>
          <w:lang w:val="en-US" w:eastAsia="zh-CN" w:bidi="ar-SA"/>
        </w:rPr>
        <w:outlineLvl w:val="1"/>
      </w:pPr>
      <w:r/>
      <w:bookmarkStart w:id="60" w:name="_Toc17432"/>
      <w:r/>
      <w:bookmarkStart w:id="61" w:name="_Toc80122308"/>
      <w:r/>
      <w:bookmarkStart w:id="62" w:name="_Toc15197"/>
      <w:r>
        <w:rPr>
          <w:rFonts w:hint="eastAsia" w:ascii="黑体" w:hAnsi="黑体" w:eastAsia="黑体" w:cs="黑体"/>
          <w:b/>
          <w:bCs/>
          <w:color w:val="auto"/>
          <w:sz w:val="28"/>
          <w:szCs w:val="21"/>
          <w:highlight w:val="none"/>
          <w:lang w:val="en-US" w:eastAsia="zh-CN" w:bidi="ar-SA"/>
        </w:rPr>
        <w:t xml:space="preserve">七、</w:t>
      </w:r>
      <w:bookmarkStart w:id="63" w:name="OLE_LINK6"/>
      <w:r>
        <w:rPr>
          <w:rFonts w:hint="eastAsia" w:ascii="黑体" w:hAnsi="黑体" w:eastAsia="黑体" w:cs="黑体"/>
          <w:b/>
          <w:bCs/>
          <w:color w:val="auto"/>
          <w:sz w:val="28"/>
          <w:szCs w:val="21"/>
          <w:highlight w:val="none"/>
          <w:lang w:val="en-US" w:eastAsia="zh-CN" w:bidi="ar-SA"/>
        </w:rPr>
        <w:t xml:space="preserve">残疾人福利性单位</w:t>
      </w:r>
      <w:bookmarkEnd w:id="63"/>
      <w:r>
        <w:rPr>
          <w:rFonts w:hint="eastAsia" w:ascii="黑体" w:hAnsi="黑体" w:eastAsia="黑体" w:cs="黑体"/>
          <w:b/>
          <w:bCs/>
          <w:color w:val="auto"/>
          <w:sz w:val="28"/>
          <w:szCs w:val="21"/>
          <w:highlight w:val="none"/>
          <w:lang w:val="en-US" w:eastAsia="zh-CN" w:bidi="ar-SA"/>
        </w:rPr>
        <w:t xml:space="preserve">声明函</w:t>
      </w:r>
      <w:bookmarkEnd w:id="60"/>
      <w:r/>
      <w:bookmarkEnd w:id="61"/>
      <w:r/>
      <w:bookmarkEnd w:id="62"/>
      <w:r>
        <w:rPr>
          <w:rFonts w:hint="eastAsia" w:ascii="黑体" w:hAnsi="黑体" w:eastAsia="黑体" w:cs="黑体"/>
          <w:b/>
          <w:bCs/>
          <w:color w:val="auto"/>
          <w:sz w:val="28"/>
          <w:szCs w:val="21"/>
          <w:highlight w:val="none"/>
          <w:lang w:val="en-US" w:eastAsia="zh-CN" w:bidi="ar-SA"/>
        </w:rPr>
        <w:t xml:space="preserve">（非残疾人福利性单位可以不提供）</w:t>
      </w:r>
      <w:r/>
    </w:p>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项目名称：</w:t>
      </w:r>
      <w:r/>
    </w:p>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项目编号：</w:t>
      </w:r>
      <w:r/>
    </w:p>
    <w:p>
      <w:pPr>
        <w:ind w:firstLine="504"/>
        <w:jc w:val="left"/>
        <w:spacing w:line="360" w:lineRule="auto"/>
        <w:widowControl w:val="off"/>
        <w:rPr>
          <w:rFonts w:hint="eastAsia" w:ascii="黑体" w:hAnsi="黑体" w:eastAsia="黑体" w:cs="黑体"/>
          <w:color w:val="auto"/>
          <w:spacing w:val="6"/>
          <w:highlight w:val="none"/>
          <w:lang w:val="en-US" w:eastAsia="zh-CN" w:bidi="ar-SA"/>
        </w:rPr>
      </w:pPr>
      <w:r>
        <w:rPr>
          <w:rFonts w:hint="eastAsia" w:ascii="黑体" w:hAnsi="黑体" w:eastAsia="黑体" w:cs="黑体"/>
          <w:color w:val="auto"/>
          <w:spacing w:val="6"/>
          <w:sz w:val="24"/>
          <w:szCs w:val="21"/>
          <w:highlight w:val="none"/>
          <w:lang w:val="en-US" w:eastAsia="zh-CN" w:bidi="ar-SA"/>
        </w:rPr>
        <w:t xml:space="preserve">本单位郑重声明，根据《财政部民政部中国残疾人联合会关于促进残疾人就业政府采购政策的通知》（财库</w:t>
      </w:r>
      <w:r>
        <w:rPr>
          <w:rFonts w:hint="eastAsia" w:ascii="黑体" w:hAnsi="黑体" w:eastAsia="黑体" w:cs="黑体"/>
          <w:color w:val="auto"/>
          <w:sz w:val="24"/>
          <w:szCs w:val="21"/>
          <w:highlight w:val="none"/>
          <w:lang w:val="en-US" w:eastAsia="zh-CN" w:bidi="ar-SA"/>
        </w:rPr>
        <w:t xml:space="preserve">〔2017〕141</w:t>
      </w:r>
      <w:r>
        <w:rPr>
          <w:rFonts w:hint="eastAsia" w:ascii="黑体" w:hAnsi="黑体" w:eastAsia="黑体" w:cs="黑体"/>
          <w:color w:val="auto"/>
          <w:spacing w:val="6"/>
          <w:sz w:val="24"/>
          <w:szCs w:val="21"/>
          <w:highlight w:val="none"/>
          <w:lang w:val="en-US" w:eastAsia="zh-CN" w:bidi="ar-SA"/>
        </w:rPr>
        <w:t xml:space="preserve">号）的规定，本单位为符合条件的残疾人福利性单位，且本单位参加</w:t>
      </w:r>
      <w:r>
        <w:rPr>
          <w:rFonts w:hint="eastAsia" w:ascii="黑体" w:hAnsi="黑体" w:eastAsia="黑体" w:cs="黑体"/>
          <w:color w:val="auto"/>
          <w:sz w:val="24"/>
          <w:szCs w:val="21"/>
          <w:highlight w:val="none"/>
          <w:lang w:val="en-US" w:eastAsia="zh-CN" w:bidi="ar-SA"/>
        </w:rPr>
        <w:t xml:space="preserve">______</w:t>
      </w:r>
      <w:r>
        <w:rPr>
          <w:rFonts w:hint="eastAsia" w:ascii="黑体" w:hAnsi="黑体" w:eastAsia="黑体" w:cs="黑体"/>
          <w:color w:val="auto"/>
          <w:spacing w:val="6"/>
          <w:sz w:val="24"/>
          <w:szCs w:val="21"/>
          <w:highlight w:val="none"/>
          <w:lang w:val="en-US" w:eastAsia="zh-CN" w:bidi="ar-SA"/>
        </w:rPr>
        <w:t xml:space="preserve">单位的</w:t>
      </w:r>
      <w:r>
        <w:rPr>
          <w:rFonts w:hint="eastAsia" w:ascii="黑体" w:hAnsi="黑体" w:eastAsia="黑体" w:cs="黑体"/>
          <w:color w:val="auto"/>
          <w:sz w:val="24"/>
          <w:szCs w:val="21"/>
          <w:highlight w:val="none"/>
          <w:lang w:val="en-US" w:eastAsia="zh-CN" w:bidi="ar-SA"/>
        </w:rPr>
        <w:t xml:space="preserve">______</w:t>
      </w:r>
      <w:r>
        <w:rPr>
          <w:rFonts w:hint="eastAsia" w:ascii="黑体" w:hAnsi="黑体" w:eastAsia="黑体" w:cs="黑体"/>
          <w:color w:val="auto"/>
          <w:spacing w:val="6"/>
          <w:sz w:val="24"/>
          <w:szCs w:val="21"/>
          <w:highlight w:val="none"/>
          <w:lang w:val="en-US" w:eastAsia="zh-CN" w:bidi="ar-SA"/>
        </w:rPr>
        <w:t xml:space="preserve">项目采购活动提供本单位制造的货物（由本单位承担工程/提供服务），或者提供其他残疾人福利性单位制造的货物（不包括使用非残疾人福利性单位注册商标的货物）。</w:t>
      </w:r>
      <w:r/>
    </w:p>
    <w:p>
      <w:pPr>
        <w:ind w:firstLine="504"/>
        <w:jc w:val="left"/>
        <w:spacing w:line="360" w:lineRule="auto"/>
        <w:widowControl w:val="off"/>
        <w:rPr>
          <w:rFonts w:hint="eastAsia" w:ascii="黑体" w:hAnsi="黑体" w:eastAsia="黑体" w:cs="黑体"/>
          <w:color w:val="auto"/>
          <w:spacing w:val="6"/>
          <w:highlight w:val="none"/>
          <w:lang w:val="en-US" w:eastAsia="zh-CN" w:bidi="ar-SA"/>
        </w:rPr>
      </w:pPr>
      <w:r>
        <w:rPr>
          <w:rFonts w:hint="eastAsia" w:ascii="黑体" w:hAnsi="黑体" w:eastAsia="黑体" w:cs="黑体"/>
          <w:color w:val="auto"/>
          <w:spacing w:val="6"/>
          <w:sz w:val="24"/>
          <w:szCs w:val="21"/>
          <w:highlight w:val="none"/>
          <w:lang w:val="en-US" w:eastAsia="zh-CN" w:bidi="ar-SA"/>
        </w:rPr>
        <w:t xml:space="preserve">本单位对上述声明的真实性负责。如有虚假，将依法承担相应责任。</w:t>
      </w:r>
      <w:r/>
    </w:p>
    <w:p>
      <w:pPr>
        <w:ind w:firstLine="504"/>
        <w:jc w:val="left"/>
        <w:spacing w:line="360" w:lineRule="auto"/>
        <w:widowControl w:val="off"/>
        <w:rPr>
          <w:rFonts w:hint="eastAsia" w:ascii="黑体" w:hAnsi="黑体" w:eastAsia="黑体" w:cs="黑体"/>
          <w:color w:val="auto"/>
          <w:spacing w:val="6"/>
          <w:highlight w:val="none"/>
          <w:lang w:val="en-US" w:eastAsia="zh-CN" w:bidi="ar-SA"/>
        </w:rPr>
      </w:pPr>
      <w:r>
        <w:rPr>
          <w:rFonts w:hint="eastAsia" w:ascii="黑体" w:hAnsi="黑体" w:eastAsia="黑体" w:cs="黑体"/>
          <w:color w:val="auto"/>
          <w:spacing w:val="6"/>
          <w:highlight w:val="none"/>
          <w:lang w:val="en-US" w:eastAsia="zh-CN" w:bidi="ar-SA"/>
        </w:rPr>
      </w:r>
      <w:r/>
    </w:p>
    <w:p>
      <w:pPr>
        <w:ind w:firstLine="504"/>
        <w:jc w:val="left"/>
        <w:spacing w:line="360" w:lineRule="auto"/>
        <w:widowControl w:val="off"/>
        <w:rPr>
          <w:rFonts w:hint="eastAsia" w:ascii="黑体" w:hAnsi="黑体" w:eastAsia="黑体" w:cs="黑体"/>
          <w:color w:val="auto"/>
          <w:spacing w:val="6"/>
          <w:highlight w:val="none"/>
          <w:lang w:val="en-US" w:eastAsia="zh-CN" w:bidi="ar-SA"/>
        </w:rPr>
      </w:pPr>
      <w:r>
        <w:rPr>
          <w:rFonts w:hint="eastAsia" w:ascii="黑体" w:hAnsi="黑体" w:eastAsia="黑体" w:cs="黑体"/>
          <w:color w:val="auto"/>
          <w:spacing w:val="6"/>
          <w:highlight w:val="none"/>
          <w:lang w:val="en-US" w:eastAsia="zh-CN" w:bidi="ar-SA"/>
        </w:rPr>
      </w:r>
      <w:r/>
    </w:p>
    <w:p>
      <w:pPr>
        <w:ind w:firstLine="4560"/>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供应商：（</w:t>
      </w:r>
      <w:r>
        <w:rPr>
          <w:rFonts w:hint="eastAsia" w:ascii="黑体" w:hAnsi="黑体" w:eastAsia="黑体" w:cs="黑体"/>
          <w:color w:val="auto"/>
          <w:sz w:val="24"/>
          <w:szCs w:val="24"/>
          <w:highlight w:val="none"/>
          <w:lang w:val="en-US" w:eastAsia="zh-CN" w:bidi="ar-SA"/>
        </w:rPr>
        <w:t xml:space="preserve">电子签章</w:t>
      </w:r>
      <w:r>
        <w:rPr>
          <w:rFonts w:hint="eastAsia" w:ascii="黑体" w:hAnsi="黑体" w:eastAsia="黑体" w:cs="黑体"/>
          <w:color w:val="auto"/>
          <w:sz w:val="24"/>
          <w:szCs w:val="21"/>
          <w:highlight w:val="none"/>
          <w:lang w:val="en-US" w:eastAsia="zh-CN" w:bidi="ar-SA"/>
        </w:rPr>
        <w:t xml:space="preserve">）</w:t>
      </w:r>
      <w:r/>
    </w:p>
    <w:p>
      <w:pPr>
        <w:ind w:firstLine="480"/>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                               </w:t>
      </w:r>
      <w:r/>
    </w:p>
    <w:p>
      <w:pPr>
        <w:ind w:firstLine="480"/>
        <w:jc w:val="left"/>
        <w:spacing w:line="360" w:lineRule="auto"/>
        <w:widowControl w:val="off"/>
        <w:rPr>
          <w:rFonts w:hint="eastAsia" w:ascii="黑体" w:hAnsi="黑体" w:eastAsia="黑体" w:cs="黑体"/>
          <w:color w:val="auto"/>
          <w:sz w:val="24"/>
          <w:highlight w:val="none"/>
          <w:lang w:val="en-US" w:eastAsia="zh-CN" w:bidi="ar-SA"/>
        </w:rPr>
      </w:pPr>
      <w:r>
        <w:rPr>
          <w:rFonts w:hint="eastAsia" w:ascii="黑体" w:hAnsi="黑体" w:eastAsia="黑体" w:cs="黑体"/>
          <w:color w:val="auto"/>
          <w:sz w:val="24"/>
          <w:szCs w:val="21"/>
          <w:highlight w:val="none"/>
          <w:lang w:val="en-US" w:eastAsia="zh-CN" w:bidi="ar-SA"/>
        </w:rPr>
        <w:t xml:space="preserve">                                  日期：  </w:t>
      </w:r>
      <w:r/>
    </w:p>
    <w:p>
      <w:pPr>
        <w:jc w:val="center"/>
        <w:spacing w:line="360" w:lineRule="auto"/>
        <w:widowControl w:val="off"/>
        <w:rPr>
          <w:rFonts w:hint="eastAsia" w:ascii="黑体" w:hAnsi="黑体" w:eastAsia="黑体" w:cs="黑体"/>
          <w:color w:val="auto"/>
          <w:szCs w:val="24"/>
          <w:highlight w:val="none"/>
        </w:rPr>
        <w:sectPr>
          <w:footerReference w:type="default" r:id="rId13"/>
          <w:footnotePr/>
          <w:endnotePr/>
          <w:type w:val="nextPage"/>
          <w:pgSz w:w="11906" w:h="16838" w:orient="portrait"/>
          <w:pgMar w:top="1440" w:right="1080" w:bottom="1440" w:left="1080" w:header="851" w:footer="992" w:gutter="0"/>
          <w:cols w:num="1" w:sep="0" w:space="720" w:equalWidth="1"/>
          <w:docGrid w:linePitch="360"/>
        </w:sectPr>
      </w:pPr>
      <w:r>
        <w:rPr>
          <w:rFonts w:hint="eastAsia" w:ascii="黑体" w:hAnsi="黑体" w:eastAsia="黑体" w:cs="黑体"/>
          <w:color w:val="auto"/>
          <w:szCs w:val="24"/>
          <w:highlight w:val="none"/>
        </w:rPr>
      </w:r>
      <w:r/>
    </w:p>
    <w:p>
      <w:pPr>
        <w:numPr>
          <w:ilvl w:val="0"/>
          <w:numId w:val="0"/>
        </w:numPr>
        <w:jc w:val="center"/>
        <w:keepLines w:val="0"/>
        <w:keepNext w:val="0"/>
        <w:spacing w:before="0" w:after="0" w:line="360" w:lineRule="auto"/>
        <w:widowControl w:val="off"/>
        <w:rPr>
          <w:rFonts w:hint="eastAsia" w:ascii="黑体" w:hAnsi="黑体" w:eastAsia="黑体" w:cs="黑体"/>
          <w:b/>
          <w:bCs/>
          <w:color w:val="auto"/>
          <w:sz w:val="28"/>
          <w:szCs w:val="21"/>
          <w:highlight w:val="none"/>
          <w:lang w:val="en-US" w:eastAsia="zh-CN" w:bidi="ar-SA"/>
        </w:rPr>
        <w:outlineLvl w:val="1"/>
      </w:pPr>
      <w:r/>
      <w:bookmarkStart w:id="64" w:name="_Toc5658"/>
      <w:r/>
      <w:bookmarkStart w:id="65" w:name="_Toc4999"/>
      <w:r/>
      <w:bookmarkStart w:id="66" w:name="_Toc80122309"/>
      <w:r>
        <w:rPr>
          <w:rFonts w:hint="eastAsia" w:ascii="黑体" w:hAnsi="黑体" w:eastAsia="黑体" w:cs="黑体"/>
          <w:b/>
          <w:bCs/>
          <w:color w:val="auto"/>
          <w:sz w:val="28"/>
          <w:szCs w:val="21"/>
          <w:lang w:val="en-US" w:eastAsia="zh-CN" w:bidi="ar-SA"/>
        </w:rPr>
        <w:t xml:space="preserve">八、</w:t>
      </w:r>
      <w:r>
        <w:rPr>
          <w:rFonts w:hint="eastAsia" w:ascii="黑体" w:hAnsi="黑体" w:eastAsia="黑体" w:cs="黑体"/>
          <w:b/>
          <w:bCs/>
          <w:color w:val="auto"/>
          <w:sz w:val="28"/>
          <w:szCs w:val="21"/>
          <w:highlight w:val="none"/>
          <w:lang w:val="en-US" w:eastAsia="zh-CN" w:bidi="ar-SA"/>
        </w:rPr>
        <w:t xml:space="preserve">供应商参加政府采购活动前三年内在经营活动中没有重大违法记录的</w:t>
      </w:r>
      <w:r/>
    </w:p>
    <w:p>
      <w:pPr>
        <w:numPr>
          <w:ilvl w:val="0"/>
          <w:numId w:val="0"/>
        </w:numPr>
        <w:jc w:val="both"/>
        <w:keepLines w:val="0"/>
        <w:keepNext w:val="0"/>
        <w:spacing w:before="0" w:after="0" w:line="360" w:lineRule="auto"/>
        <w:widowControl w:val="off"/>
        <w:rPr>
          <w:rFonts w:hint="eastAsia" w:ascii="黑体" w:hAnsi="黑体" w:eastAsia="黑体" w:cs="黑体"/>
          <w:b/>
          <w:bCs/>
          <w:color w:val="auto"/>
          <w:sz w:val="28"/>
          <w:szCs w:val="32"/>
          <w:highlight w:val="none"/>
          <w:lang w:val="en-US" w:eastAsia="zh-CN" w:bidi="ar-SA"/>
        </w:rPr>
        <w:outlineLvl w:val="1"/>
      </w:pPr>
      <w:r>
        <w:rPr>
          <w:rFonts w:hint="eastAsia" w:ascii="黑体" w:hAnsi="黑体" w:eastAsia="黑体" w:cs="黑体"/>
          <w:b/>
          <w:bCs/>
          <w:color w:val="auto"/>
          <w:sz w:val="28"/>
          <w:szCs w:val="21"/>
          <w:highlight w:val="none"/>
          <w:lang w:val="en-US" w:eastAsia="zh-CN" w:bidi="ar-SA"/>
        </w:rPr>
        <w:t xml:space="preserve">书面声明</w:t>
      </w:r>
      <w:bookmarkEnd w:id="64"/>
      <w:r/>
      <w:bookmarkEnd w:id="65"/>
      <w:r/>
      <w:bookmarkEnd w:id="66"/>
      <w:r/>
      <w:r/>
    </w:p>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p>
      <w:pPr>
        <w:ind w:left="0" w:right="0" w:firstLine="720"/>
        <w:jc w:val="both"/>
        <w:spacing w:before="0" w:after="0" w:line="360" w:lineRule="auto"/>
        <w:widowControl/>
        <w:rPr>
          <w:rFonts w:hint="eastAsia" w:ascii="黑体" w:hAnsi="黑体" w:eastAsia="黑体" w:cs="黑体"/>
          <w:color w:val="auto"/>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szCs w:val="21"/>
          <w:highlight w:val="none"/>
        </w:rPr>
        <w:t xml:space="preserve">我单位在参加</w:t>
      </w:r>
      <w:r>
        <w:rPr>
          <w:rFonts w:hint="eastAsia" w:ascii="黑体" w:hAnsi="黑体" w:eastAsia="黑体" w:cs="黑体"/>
          <w:color w:val="auto"/>
          <w:sz w:val="24"/>
          <w:szCs w:val="21"/>
          <w:highlight w:val="none"/>
          <w:u w:val="single"/>
        </w:rPr>
        <w:t xml:space="preserve"> </w:t>
      </w:r>
      <w:r>
        <w:rPr>
          <w:rFonts w:hint="eastAsia" w:ascii="黑体" w:hAnsi="黑体" w:eastAsia="黑体" w:cs="黑体"/>
          <w:color w:val="auto"/>
          <w:sz w:val="24"/>
          <w:szCs w:val="21"/>
          <w:highlight w:val="none"/>
          <w:u w:val="single"/>
          <w:lang w:eastAsia="zh-CN"/>
        </w:rPr>
        <w:t xml:space="preserve">2026年度市管道路零星沟槽修复工程</w:t>
      </w:r>
      <w:r>
        <w:rPr>
          <w:rFonts w:hint="eastAsia" w:ascii="黑体" w:hAnsi="黑体" w:eastAsia="黑体" w:cs="黑体"/>
          <w:color w:val="auto"/>
          <w:sz w:val="24"/>
          <w:szCs w:val="21"/>
          <w:highlight w:val="none"/>
          <w:u w:val="single"/>
        </w:rPr>
        <w:t xml:space="preserve"> </w:t>
      </w:r>
      <w:r>
        <w:rPr>
          <w:rFonts w:hint="eastAsia" w:ascii="黑体" w:hAnsi="黑体" w:eastAsia="黑体" w:cs="黑体"/>
          <w:color w:val="auto"/>
          <w:sz w:val="24"/>
          <w:szCs w:val="21"/>
          <w:highlight w:val="none"/>
        </w:rPr>
        <w:t xml:space="preserve">[项目编号：</w:t>
      </w:r>
      <w:r>
        <w:rPr>
          <w:rFonts w:hint="eastAsia" w:ascii="黑体" w:hAnsi="黑体" w:eastAsia="黑体" w:cs="黑体"/>
          <w:color w:val="auto"/>
          <w:sz w:val="24"/>
          <w:szCs w:val="21"/>
          <w:highlight w:val="none"/>
          <w:lang w:eastAsia="zh-CN"/>
        </w:rPr>
        <w:t xml:space="preserve">JSZC-320300-ZBZJ-C2026-0001</w:t>
      </w:r>
      <w:r>
        <w:rPr>
          <w:rFonts w:hint="eastAsia" w:ascii="黑体" w:hAnsi="黑体" w:eastAsia="黑体" w:cs="黑体"/>
          <w:color w:val="auto"/>
          <w:sz w:val="24"/>
          <w:szCs w:val="21"/>
          <w:highlight w:val="none"/>
        </w:rPr>
        <w:t xml:space="preserve">]政府采购活动前三年内在经营活动中没有重大违法记录。重大违法记录是指因违法经营受到刑事处罚或者责令停产停业、吊销许可证或者执照、较大数额罚款等行政处罚。</w:t>
      </w:r>
      <w:r/>
    </w:p>
    <w:p>
      <w:pPr>
        <w:ind w:firstLine="720"/>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我单位对上述声明的真实性负责。如有虚假，将依法承担相应责任。</w:t>
      </w:r>
      <w:r/>
    </w:p>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                           供应商（</w:t>
      </w:r>
      <w:r>
        <w:rPr>
          <w:rFonts w:hint="eastAsia" w:ascii="黑体" w:hAnsi="黑体" w:eastAsia="黑体" w:cs="黑体"/>
          <w:color w:val="auto"/>
          <w:sz w:val="24"/>
          <w:szCs w:val="24"/>
          <w:highlight w:val="none"/>
          <w:lang w:val="en-US" w:eastAsia="zh-CN" w:bidi="ar-SA"/>
        </w:rPr>
        <w:t xml:space="preserve">电子签章</w:t>
      </w:r>
      <w:r>
        <w:rPr>
          <w:rFonts w:hint="eastAsia" w:ascii="黑体" w:hAnsi="黑体" w:eastAsia="黑体" w:cs="黑体"/>
          <w:color w:val="auto"/>
          <w:sz w:val="24"/>
          <w:szCs w:val="21"/>
          <w:highlight w:val="none"/>
          <w:lang w:val="en-US" w:eastAsia="zh-CN" w:bidi="ar-SA"/>
        </w:rPr>
        <w:t xml:space="preserve">）：</w:t>
      </w:r>
      <w:r/>
    </w:p>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                </w:t>
      </w:r>
      <w:r/>
    </w:p>
    <w:p>
      <w:pPr>
        <w:jc w:val="left"/>
        <w:spacing w:line="360" w:lineRule="auto"/>
        <w:widowControl w:val="off"/>
        <w:rPr>
          <w:rFonts w:hint="eastAsia" w:ascii="黑体" w:hAnsi="黑体" w:eastAsia="黑体" w:cs="黑体"/>
          <w:color w:val="auto"/>
          <w:sz w:val="24"/>
          <w:highlight w:val="none"/>
          <w:lang w:val="en-US" w:eastAsia="zh-CN" w:bidi="ar-SA"/>
        </w:rPr>
      </w:pPr>
      <w:r>
        <w:rPr>
          <w:rFonts w:hint="eastAsia" w:ascii="黑体" w:hAnsi="黑体" w:eastAsia="黑体" w:cs="黑体"/>
          <w:color w:val="auto"/>
          <w:sz w:val="24"/>
          <w:szCs w:val="21"/>
          <w:highlight w:val="none"/>
          <w:lang w:val="en-US" w:eastAsia="zh-CN" w:bidi="ar-SA"/>
        </w:rPr>
        <w:t xml:space="preserve">                           日期： </w:t>
      </w:r>
      <w:r/>
    </w:p>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p>
      <w:pPr>
        <w:jc w:val="center"/>
        <w:keepLines w:val="0"/>
        <w:keepNext w:val="0"/>
        <w:spacing w:before="0" w:after="0" w:line="360" w:lineRule="auto"/>
        <w:widowControl w:val="off"/>
        <w:rPr>
          <w:rFonts w:hint="eastAsia" w:ascii="黑体" w:hAnsi="黑体" w:eastAsia="黑体" w:cs="黑体"/>
          <w:b/>
          <w:bCs/>
          <w:color w:val="auto"/>
          <w:sz w:val="28"/>
          <w:szCs w:val="32"/>
          <w:highlight w:val="none"/>
          <w:lang w:val="en-US" w:eastAsia="zh-CN" w:bidi="ar-SA"/>
        </w:rPr>
        <w:outlineLvl w:val="1"/>
      </w:pPr>
      <w:r/>
      <w:bookmarkStart w:id="135" w:name="_GoBack"/>
      <w:r/>
      <w:bookmarkEnd w:id="135"/>
      <w:r>
        <w:rPr>
          <w:rFonts w:hint="eastAsia" w:ascii="黑体" w:hAnsi="黑体" w:eastAsia="黑体" w:cs="黑体"/>
          <w:b/>
          <w:bCs/>
          <w:color w:val="auto"/>
          <w:sz w:val="28"/>
          <w:szCs w:val="28"/>
          <w:highlight w:val="none"/>
          <w:lang w:val="en-US" w:eastAsia="zh-CN" w:bidi="ar-SA"/>
        </w:rPr>
        <w:br w:type="page" w:clear="all"/>
      </w:r>
      <w:bookmarkStart w:id="67" w:name="_Toc7334"/>
      <w:r/>
      <w:bookmarkStart w:id="68" w:name="_Toc19880"/>
      <w:r/>
      <w:bookmarkStart w:id="69" w:name="_Toc80122310"/>
      <w:r>
        <w:rPr>
          <w:rFonts w:hint="eastAsia" w:ascii="黑体" w:hAnsi="黑体" w:eastAsia="黑体" w:cs="黑体"/>
          <w:b/>
          <w:bCs/>
          <w:color w:val="auto"/>
          <w:sz w:val="28"/>
          <w:szCs w:val="21"/>
          <w:highlight w:val="none"/>
          <w:lang w:val="en-US" w:eastAsia="zh-CN" w:bidi="ar-SA"/>
        </w:rPr>
        <w:t xml:space="preserve">九、具备履行合同所必需的设备和专业技术能力的书面声明</w:t>
      </w:r>
      <w:bookmarkEnd w:id="67"/>
      <w:r/>
      <w:bookmarkEnd w:id="68"/>
      <w:r/>
      <w:r/>
    </w:p>
    <w:p>
      <w:pPr>
        <w:jc w:val="center"/>
        <w:keepLines w:val="0"/>
        <w:keepNext w:val="0"/>
        <w:spacing w:before="0" w:after="0" w:line="360" w:lineRule="auto"/>
        <w:widowControl w:val="off"/>
        <w:rPr>
          <w:rFonts w:hint="eastAsia" w:ascii="黑体" w:hAnsi="黑体" w:eastAsia="黑体" w:cs="黑体"/>
          <w:b/>
          <w:bCs/>
          <w:color w:val="auto"/>
          <w:sz w:val="28"/>
          <w:szCs w:val="28"/>
          <w:highlight w:val="none"/>
          <w:lang w:val="en-US" w:eastAsia="zh-CN" w:bidi="ar-SA"/>
        </w:rPr>
        <w:outlineLvl w:val="9"/>
      </w:pPr>
      <w:r/>
      <w:bookmarkStart w:id="70" w:name="_Toc28074"/>
      <w:r/>
      <w:bookmarkStart w:id="71" w:name="_Toc19685"/>
      <w:r>
        <w:rPr>
          <w:rFonts w:hint="eastAsia" w:ascii="黑体" w:hAnsi="黑体" w:eastAsia="黑体" w:cs="黑体"/>
          <w:b/>
          <w:bCs/>
          <w:color w:val="auto"/>
          <w:sz w:val="28"/>
          <w:szCs w:val="21"/>
          <w:highlight w:val="none"/>
          <w:lang w:val="en-US" w:eastAsia="zh-CN" w:bidi="ar-SA"/>
        </w:rPr>
        <w:t xml:space="preserve">（附证明材料复印件）</w:t>
      </w:r>
      <w:bookmarkEnd w:id="69"/>
      <w:r/>
      <w:bookmarkEnd w:id="70"/>
      <w:r/>
      <w:bookmarkEnd w:id="71"/>
      <w:r/>
      <w:r/>
    </w:p>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项目名称：</w:t>
      </w:r>
      <w:r/>
    </w:p>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项目编号：</w:t>
      </w:r>
      <w:r/>
    </w:p>
    <w:p>
      <w:pPr>
        <w:ind w:firstLine="480"/>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供应商郑重声明：供应商具备履行合同（项目名称</w:t>
      </w:r>
      <w:r>
        <w:rPr>
          <w:rFonts w:hint="eastAsia" w:ascii="黑体" w:hAnsi="黑体" w:eastAsia="黑体" w:cs="黑体"/>
          <w:color w:val="auto"/>
          <w:sz w:val="24"/>
          <w:szCs w:val="21"/>
          <w:highlight w:val="none"/>
          <w:u w:val="single"/>
          <w:lang w:val="en-US" w:eastAsia="zh-CN" w:bidi="ar-SA"/>
        </w:rPr>
        <w:t xml:space="preserve">：   </w:t>
      </w:r>
      <w:r>
        <w:rPr>
          <w:rFonts w:hint="eastAsia" w:ascii="黑体" w:hAnsi="黑体" w:eastAsia="黑体" w:cs="黑体"/>
          <w:color w:val="auto"/>
          <w:sz w:val="24"/>
          <w:szCs w:val="21"/>
          <w:highlight w:val="none"/>
          <w:lang w:val="en-US" w:eastAsia="zh-CN" w:bidi="ar-SA"/>
        </w:rPr>
        <w:t xml:space="preserve">，项目编号：所必需的设备和专业技术能力，具体为：</w:t>
      </w:r>
      <w:r/>
    </w:p>
    <w:p>
      <w:pPr>
        <w:ind w:firstLine="972"/>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设备：</w:t>
      </w:r>
      <w:r/>
    </w:p>
    <w:p>
      <w:pPr>
        <w:ind w:firstLine="972"/>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1、 </w:t>
      </w:r>
      <w:r>
        <w:rPr>
          <w:rFonts w:hint="eastAsia" w:ascii="黑体" w:hAnsi="黑体" w:eastAsia="黑体" w:cs="黑体"/>
          <w:color w:val="auto"/>
          <w:sz w:val="24"/>
          <w:szCs w:val="21"/>
          <w:highlight w:val="none"/>
          <w:u w:val="single"/>
          <w:lang w:val="en-US" w:eastAsia="zh-CN" w:bidi="ar-SA"/>
        </w:rPr>
        <w:t xml:space="preserve">                          </w:t>
      </w:r>
      <w:r>
        <w:rPr>
          <w:rFonts w:hint="eastAsia" w:ascii="黑体" w:hAnsi="黑体" w:eastAsia="黑体" w:cs="黑体"/>
          <w:color w:val="auto"/>
          <w:sz w:val="24"/>
          <w:szCs w:val="21"/>
          <w:highlight w:val="none"/>
          <w:lang w:val="en-US" w:eastAsia="zh-CN" w:bidi="ar-SA"/>
        </w:rPr>
        <w:t xml:space="preserve">（证明材料复印件附后）</w:t>
      </w:r>
      <w:r/>
    </w:p>
    <w:p>
      <w:pPr>
        <w:ind w:firstLine="972"/>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2、  </w:t>
      </w:r>
      <w:r>
        <w:rPr>
          <w:rFonts w:hint="eastAsia" w:ascii="黑体" w:hAnsi="黑体" w:eastAsia="黑体" w:cs="黑体"/>
          <w:color w:val="auto"/>
          <w:sz w:val="24"/>
          <w:szCs w:val="21"/>
          <w:highlight w:val="none"/>
          <w:u w:val="single"/>
          <w:lang w:val="en-US" w:eastAsia="zh-CN" w:bidi="ar-SA"/>
        </w:rPr>
        <w:t xml:space="preserve">                        </w:t>
      </w:r>
      <w:r>
        <w:rPr>
          <w:rFonts w:hint="eastAsia" w:ascii="黑体" w:hAnsi="黑体" w:eastAsia="黑体" w:cs="黑体"/>
          <w:color w:val="auto"/>
          <w:sz w:val="24"/>
          <w:szCs w:val="21"/>
          <w:highlight w:val="none"/>
          <w:lang w:val="en-US" w:eastAsia="zh-CN" w:bidi="ar-SA"/>
        </w:rPr>
        <w:t xml:space="preserve"> （证明材料复印件附后）</w:t>
      </w:r>
      <w:r/>
    </w:p>
    <w:p>
      <w:pPr>
        <w:ind w:firstLine="972"/>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3、</w:t>
      </w:r>
      <w:r>
        <w:rPr>
          <w:rFonts w:hint="eastAsia" w:ascii="黑体" w:hAnsi="黑体" w:eastAsia="黑体" w:cs="黑体"/>
          <w:color w:val="auto"/>
          <w:sz w:val="24"/>
          <w:szCs w:val="21"/>
          <w:highlight w:val="none"/>
          <w:u w:val="single"/>
          <w:lang w:val="en-US" w:eastAsia="zh-CN" w:bidi="ar-SA"/>
        </w:rPr>
        <w:t xml:space="preserve">                          </w:t>
      </w:r>
      <w:r>
        <w:rPr>
          <w:rFonts w:hint="eastAsia" w:ascii="黑体" w:hAnsi="黑体" w:eastAsia="黑体" w:cs="黑体"/>
          <w:color w:val="auto"/>
          <w:sz w:val="24"/>
          <w:szCs w:val="21"/>
          <w:highlight w:val="none"/>
          <w:lang w:val="en-US" w:eastAsia="zh-CN" w:bidi="ar-SA"/>
        </w:rPr>
        <w:t xml:space="preserve">（证明材料复印件附后）</w:t>
      </w:r>
      <w:r/>
    </w:p>
    <w:p>
      <w:pPr>
        <w:ind w:firstLine="972"/>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w:t>
      </w:r>
      <w:r/>
    </w:p>
    <w:p>
      <w:pPr>
        <w:ind w:firstLine="972"/>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专业技术能力：</w:t>
      </w:r>
      <w:r/>
    </w:p>
    <w:p>
      <w:pPr>
        <w:ind w:firstLine="972"/>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1、</w:t>
      </w:r>
      <w:r>
        <w:rPr>
          <w:rFonts w:hint="eastAsia" w:ascii="黑体" w:hAnsi="黑体" w:eastAsia="黑体" w:cs="黑体"/>
          <w:color w:val="auto"/>
          <w:sz w:val="24"/>
          <w:szCs w:val="21"/>
          <w:highlight w:val="none"/>
          <w:u w:val="single"/>
          <w:lang w:val="en-US" w:eastAsia="zh-CN" w:bidi="ar-SA"/>
        </w:rPr>
        <w:t xml:space="preserve">                          </w:t>
      </w:r>
      <w:r>
        <w:rPr>
          <w:rFonts w:hint="eastAsia" w:ascii="黑体" w:hAnsi="黑体" w:eastAsia="黑体" w:cs="黑体"/>
          <w:color w:val="auto"/>
          <w:sz w:val="24"/>
          <w:szCs w:val="21"/>
          <w:highlight w:val="none"/>
          <w:lang w:val="en-US" w:eastAsia="zh-CN" w:bidi="ar-SA"/>
        </w:rPr>
        <w:t xml:space="preserve">（证明材料复印件附后）</w:t>
      </w:r>
      <w:r/>
    </w:p>
    <w:p>
      <w:pPr>
        <w:ind w:firstLine="972"/>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2、</w:t>
      </w:r>
      <w:r>
        <w:rPr>
          <w:rFonts w:hint="eastAsia" w:ascii="黑体" w:hAnsi="黑体" w:eastAsia="黑体" w:cs="黑体"/>
          <w:color w:val="auto"/>
          <w:sz w:val="24"/>
          <w:szCs w:val="21"/>
          <w:highlight w:val="none"/>
          <w:u w:val="single"/>
          <w:lang w:val="en-US" w:eastAsia="zh-CN" w:bidi="ar-SA"/>
        </w:rPr>
        <w:t xml:space="preserve">                          </w:t>
      </w:r>
      <w:r>
        <w:rPr>
          <w:rFonts w:hint="eastAsia" w:ascii="黑体" w:hAnsi="黑体" w:eastAsia="黑体" w:cs="黑体"/>
          <w:color w:val="auto"/>
          <w:sz w:val="24"/>
          <w:szCs w:val="21"/>
          <w:highlight w:val="none"/>
          <w:lang w:val="en-US" w:eastAsia="zh-CN" w:bidi="ar-SA"/>
        </w:rPr>
        <w:t xml:space="preserve"> （证明材料复印件附后）</w:t>
      </w:r>
      <w:r/>
    </w:p>
    <w:p>
      <w:pPr>
        <w:ind w:firstLine="972"/>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3、</w:t>
      </w:r>
      <w:r>
        <w:rPr>
          <w:rFonts w:hint="eastAsia" w:ascii="黑体" w:hAnsi="黑体" w:eastAsia="黑体" w:cs="黑体"/>
          <w:color w:val="auto"/>
          <w:sz w:val="24"/>
          <w:szCs w:val="21"/>
          <w:highlight w:val="none"/>
          <w:u w:val="single"/>
          <w:lang w:val="en-US" w:eastAsia="zh-CN" w:bidi="ar-SA"/>
        </w:rPr>
        <w:t xml:space="preserve">                          </w:t>
      </w:r>
      <w:r>
        <w:rPr>
          <w:rFonts w:hint="eastAsia" w:ascii="黑体" w:hAnsi="黑体" w:eastAsia="黑体" w:cs="黑体"/>
          <w:color w:val="auto"/>
          <w:sz w:val="24"/>
          <w:szCs w:val="21"/>
          <w:highlight w:val="none"/>
          <w:lang w:val="en-US" w:eastAsia="zh-CN" w:bidi="ar-SA"/>
        </w:rPr>
        <w:t xml:space="preserve"> （证明材料复印件附后）</w:t>
      </w:r>
      <w:r/>
    </w:p>
    <w:p>
      <w:pPr>
        <w:ind w:firstLine="972"/>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w:t>
      </w:r>
      <w:r/>
    </w:p>
    <w:p>
      <w:pPr>
        <w:ind w:firstLine="972"/>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特此声明。</w:t>
      </w:r>
      <w:r/>
    </w:p>
    <w:p>
      <w:pPr>
        <w:ind w:firstLine="972"/>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供应商人对上述声明的真实性负责。如有虚假，将依法承担相应责任。</w:t>
      </w:r>
      <w:r/>
    </w:p>
    <w:p>
      <w:pPr>
        <w:ind w:firstLine="972"/>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 </w:t>
      </w:r>
      <w:r/>
    </w:p>
    <w:p>
      <w:pPr>
        <w:ind w:firstLine="3600"/>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供应商（</w:t>
      </w:r>
      <w:r>
        <w:rPr>
          <w:rFonts w:hint="eastAsia" w:ascii="黑体" w:hAnsi="黑体" w:eastAsia="黑体" w:cs="黑体"/>
          <w:color w:val="auto"/>
          <w:sz w:val="24"/>
          <w:szCs w:val="24"/>
          <w:highlight w:val="none"/>
          <w:lang w:val="en-US" w:eastAsia="zh-CN" w:bidi="ar-SA"/>
        </w:rPr>
        <w:t xml:space="preserve">电子签章</w:t>
      </w:r>
      <w:r>
        <w:rPr>
          <w:rFonts w:hint="eastAsia" w:ascii="黑体" w:hAnsi="黑体" w:eastAsia="黑体" w:cs="黑体"/>
          <w:color w:val="auto"/>
          <w:sz w:val="24"/>
          <w:szCs w:val="21"/>
          <w:highlight w:val="none"/>
          <w:lang w:val="en-US" w:eastAsia="zh-CN" w:bidi="ar-SA"/>
        </w:rPr>
        <w:t xml:space="preserve">）：</w:t>
      </w:r>
      <w:r/>
    </w:p>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                              </w:t>
      </w:r>
      <w:r/>
    </w:p>
    <w:p>
      <w:pPr>
        <w:ind w:firstLine="3600"/>
        <w:jc w:val="both"/>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日期：</w:t>
      </w:r>
      <w:r/>
    </w:p>
    <w:p>
      <w:pPr>
        <w:jc w:val="center"/>
        <w:spacing w:line="360" w:lineRule="auto"/>
        <w:widowControl w:val="off"/>
        <w:rPr>
          <w:rFonts w:hint="eastAsia" w:ascii="黑体" w:hAnsi="黑体" w:eastAsia="黑体" w:cs="黑体"/>
          <w:color w:val="auto"/>
          <w:sz w:val="28"/>
          <w:szCs w:val="28"/>
          <w:highlight w:val="none"/>
          <w:lang w:val="en-US" w:eastAsia="zh-CN" w:bidi="ar-SA"/>
        </w:rPr>
      </w:pPr>
      <w:r>
        <w:rPr>
          <w:rFonts w:hint="eastAsia" w:ascii="黑体" w:hAnsi="黑体" w:eastAsia="黑体" w:cs="黑体"/>
          <w:color w:val="auto"/>
          <w:sz w:val="28"/>
          <w:szCs w:val="28"/>
          <w:highlight w:val="none"/>
          <w:lang w:val="en-US" w:eastAsia="zh-CN" w:bidi="ar-SA"/>
        </w:rPr>
      </w:r>
      <w:r/>
    </w:p>
    <w:p>
      <w:pPr>
        <w:jc w:val="center"/>
        <w:keepLines w:val="0"/>
        <w:keepNext w:val="0"/>
        <w:spacing w:before="260" w:after="260" w:line="360" w:lineRule="auto"/>
        <w:widowControl w:val="off"/>
        <w:rPr>
          <w:rFonts w:hint="eastAsia" w:ascii="黑体" w:hAnsi="黑体" w:eastAsia="黑体" w:cs="黑体"/>
          <w:b/>
          <w:bCs/>
          <w:color w:val="auto"/>
          <w:sz w:val="28"/>
          <w:szCs w:val="32"/>
          <w:highlight w:val="none"/>
          <w:lang w:val="en-US" w:eastAsia="zh-CN" w:bidi="ar-SA"/>
        </w:rPr>
        <w:outlineLvl w:val="9"/>
      </w:pPr>
      <w:r/>
      <w:bookmarkStart w:id="72" w:name="_Toc80122311"/>
      <w:r>
        <w:rPr>
          <w:rFonts w:hint="eastAsia" w:ascii="黑体" w:hAnsi="黑体" w:eastAsia="黑体" w:cs="黑体"/>
          <w:b/>
          <w:bCs/>
          <w:color w:val="auto"/>
          <w:sz w:val="28"/>
          <w:szCs w:val="21"/>
          <w:highlight w:val="none"/>
          <w:lang w:val="en-US" w:eastAsia="zh-CN" w:bidi="ar-SA"/>
        </w:rPr>
        <w:t xml:space="preserve">       </w:t>
      </w:r>
      <w:r/>
    </w:p>
    <w:p>
      <w:pPr>
        <w:jc w:val="center"/>
        <w:spacing w:line="360" w:lineRule="auto"/>
        <w:widowControl w:val="off"/>
        <w:rPr>
          <w:rFonts w:hint="eastAsia" w:ascii="黑体" w:hAnsi="黑体" w:eastAsia="黑体" w:cs="黑体"/>
          <w:color w:val="auto"/>
          <w:sz w:val="28"/>
          <w:highlight w:val="none"/>
          <w:lang w:val="en-US" w:eastAsia="zh-CN" w:bidi="ar-SA"/>
        </w:rPr>
        <w:outlineLvl w:val="1"/>
      </w:pPr>
      <w:r>
        <w:rPr>
          <w:rFonts w:hint="eastAsia" w:ascii="黑体" w:hAnsi="黑体" w:eastAsia="黑体" w:cs="黑体"/>
          <w:color w:val="auto"/>
          <w:sz w:val="28"/>
          <w:szCs w:val="21"/>
          <w:highlight w:val="none"/>
          <w:lang w:val="en-US" w:eastAsia="zh-CN" w:bidi="ar-SA"/>
        </w:rPr>
        <w:br w:type="page" w:clear="all"/>
      </w:r>
      <w:bookmarkStart w:id="73" w:name="_Toc6127"/>
      <w:r/>
      <w:bookmarkStart w:id="74" w:name="_Toc2915"/>
      <w:r>
        <w:rPr>
          <w:rFonts w:hint="eastAsia" w:ascii="黑体" w:hAnsi="黑体" w:eastAsia="黑体" w:cs="黑体"/>
          <w:b/>
          <w:bCs/>
          <w:color w:val="auto"/>
          <w:sz w:val="28"/>
          <w:szCs w:val="21"/>
          <w:highlight w:val="none"/>
          <w:lang w:val="en-US" w:eastAsia="zh-CN" w:bidi="ar-SA"/>
        </w:rPr>
        <w:t xml:space="preserve">十</w:t>
      </w:r>
      <w:bookmarkEnd w:id="72"/>
      <w:r/>
      <w:bookmarkStart w:id="75" w:name="_Toc80122313"/>
      <w:r>
        <w:rPr>
          <w:rFonts w:hint="eastAsia" w:ascii="黑体" w:hAnsi="黑体" w:eastAsia="黑体" w:cs="黑体"/>
          <w:b/>
          <w:bCs/>
          <w:color w:val="auto"/>
          <w:sz w:val="28"/>
          <w:szCs w:val="21"/>
          <w:highlight w:val="none"/>
          <w:lang w:val="en-US" w:eastAsia="zh-CN" w:bidi="ar-SA"/>
        </w:rPr>
        <w:t xml:space="preserve">、响应文件编制及评分细则要求提供的其他资料</w:t>
      </w:r>
      <w:bookmarkEnd w:id="73"/>
      <w:r/>
      <w:bookmarkEnd w:id="74"/>
      <w:r/>
      <w:bookmarkEnd w:id="75"/>
      <w:r/>
      <w:r/>
    </w:p>
    <w:p>
      <w:pPr>
        <w:jc w:val="center"/>
        <w:spacing w:line="360" w:lineRule="auto"/>
        <w:widowControl w:val="off"/>
        <w:rPr>
          <w:rFonts w:hint="eastAsia" w:ascii="黑体" w:hAnsi="黑体" w:eastAsia="黑体" w:cs="黑体"/>
          <w:color w:val="auto"/>
          <w:sz w:val="28"/>
          <w:highlight w:val="none"/>
          <w:lang w:val="en-US" w:eastAsia="zh-CN" w:bidi="ar-SA"/>
        </w:rPr>
      </w:pPr>
      <w:r/>
      <w:bookmarkStart w:id="76" w:name="_Toc80122314"/>
      <w:r>
        <w:rPr>
          <w:rFonts w:hint="eastAsia" w:ascii="黑体" w:hAnsi="黑体" w:eastAsia="黑体" w:cs="黑体"/>
          <w:color w:val="auto"/>
          <w:sz w:val="28"/>
          <w:szCs w:val="21"/>
          <w:highlight w:val="none"/>
          <w:lang w:val="en-US" w:eastAsia="zh-CN" w:bidi="ar-SA"/>
        </w:rPr>
        <w:t xml:space="preserve">（格式自拟）</w:t>
      </w:r>
      <w:r/>
    </w:p>
    <w:p>
      <w:pPr>
        <w:ind w:firstLine="2800"/>
        <w:jc w:val="left"/>
        <w:spacing w:line="360" w:lineRule="auto"/>
        <w:widowControl w:val="off"/>
        <w:rPr>
          <w:rFonts w:hint="eastAsia" w:ascii="黑体" w:hAnsi="黑体" w:eastAsia="黑体" w:cs="黑体"/>
          <w:color w:val="auto"/>
          <w:sz w:val="28"/>
          <w:highlight w:val="none"/>
          <w:lang w:val="en-US" w:eastAsia="zh-CN" w:bidi="ar-SA"/>
        </w:rPr>
        <w:outlineLvl w:val="1"/>
      </w:pPr>
      <w:r/>
      <w:bookmarkStart w:id="77" w:name="_Toc15915"/>
      <w:r/>
      <w:bookmarkStart w:id="78" w:name="_Toc27950"/>
      <w:r>
        <w:rPr>
          <w:rFonts w:hint="eastAsia" w:ascii="黑体" w:hAnsi="黑体" w:eastAsia="黑体" w:cs="黑体"/>
          <w:b/>
          <w:bCs/>
          <w:color w:val="auto"/>
          <w:sz w:val="28"/>
          <w:szCs w:val="21"/>
          <w:highlight w:val="none"/>
          <w:lang w:val="en-US" w:eastAsia="zh-CN" w:bidi="ar-SA"/>
        </w:rPr>
        <w:t xml:space="preserve">十一、预付款保函支付条款模板</w:t>
      </w:r>
      <w:bookmarkEnd w:id="76"/>
      <w:r/>
      <w:bookmarkEnd w:id="77"/>
      <w:r/>
      <w:bookmarkEnd w:id="78"/>
      <w:r/>
      <w:r/>
    </w:p>
    <w:p>
      <w:pPr>
        <w:jc w:val="left"/>
        <w:spacing w:line="360" w:lineRule="auto"/>
        <w:widowControl w:val="off"/>
        <w:rPr>
          <w:rFonts w:hint="eastAsia" w:ascii="黑体" w:hAnsi="黑体" w:eastAsia="黑体" w:cs="黑体"/>
          <w:b/>
          <w:color w:val="auto"/>
          <w:sz w:val="24"/>
          <w:szCs w:val="24"/>
          <w:highlight w:val="none"/>
          <w:lang w:val="en-US" w:eastAsia="zh-CN" w:bidi="ar-SA"/>
        </w:rPr>
      </w:pPr>
      <w:r>
        <w:rPr>
          <w:rFonts w:hint="eastAsia" w:ascii="黑体" w:hAnsi="黑体" w:eastAsia="黑体" w:cs="黑体"/>
          <w:b/>
          <w:color w:val="auto"/>
          <w:sz w:val="24"/>
          <w:szCs w:val="24"/>
          <w:highlight w:val="none"/>
          <w:lang w:val="en-US" w:eastAsia="zh-CN" w:bidi="ar-SA"/>
        </w:rPr>
        <w:t xml:space="preserve">符合条件一：提交预付款保函的</w:t>
      </w:r>
      <w:r/>
    </w:p>
    <w:p>
      <w:pPr>
        <w:ind w:firstLine="480"/>
        <w:jc w:val="left"/>
        <w:spacing w:line="360" w:lineRule="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（1）合同签订且乙方向甲方出具预付款保函后</w:t>
      </w:r>
      <w:r>
        <w:rPr>
          <w:rFonts w:hint="eastAsia" w:ascii="黑体" w:hAnsi="黑体" w:eastAsia="黑体" w:cs="黑体"/>
          <w:color w:val="auto"/>
          <w:sz w:val="24"/>
          <w:szCs w:val="24"/>
          <w:highlight w:val="none"/>
          <w:u w:val="single"/>
          <w:lang w:val="en-US" w:eastAsia="zh-CN" w:bidi="ar-SA"/>
        </w:rPr>
        <w:t xml:space="preserve">   </w:t>
      </w:r>
      <w:r>
        <w:rPr>
          <w:rFonts w:hint="eastAsia" w:ascii="黑体" w:hAnsi="黑体" w:eastAsia="黑体" w:cs="黑体"/>
          <w:color w:val="auto"/>
          <w:sz w:val="24"/>
          <w:szCs w:val="24"/>
          <w:highlight w:val="none"/>
          <w:lang w:val="en-US" w:eastAsia="zh-CN" w:bidi="ar-SA"/>
        </w:rPr>
        <w:t xml:space="preserve">个工作日内，甲方应支付合同价款的百分之</w:t>
      </w:r>
      <w:r>
        <w:rPr>
          <w:rFonts w:hint="eastAsia" w:ascii="黑体" w:hAnsi="黑体" w:eastAsia="黑体" w:cs="黑体"/>
          <w:color w:val="auto"/>
          <w:sz w:val="24"/>
          <w:szCs w:val="24"/>
          <w:highlight w:val="none"/>
          <w:u w:val="single"/>
          <w:lang w:val="en-US" w:eastAsia="zh-CN" w:bidi="ar-SA"/>
        </w:rPr>
        <w:t xml:space="preserve">   </w:t>
      </w:r>
      <w:r>
        <w:rPr>
          <w:rFonts w:hint="eastAsia" w:ascii="黑体" w:hAnsi="黑体" w:eastAsia="黑体" w:cs="黑体"/>
          <w:color w:val="auto"/>
          <w:sz w:val="24"/>
          <w:szCs w:val="24"/>
          <w:highlight w:val="none"/>
          <w:lang w:val="en-US" w:eastAsia="zh-CN" w:bidi="ar-SA"/>
        </w:rPr>
        <w:t xml:space="preserve">（</w:t>
      </w:r>
      <w:r>
        <w:rPr>
          <w:rFonts w:hint="eastAsia" w:ascii="黑体" w:hAnsi="黑体" w:eastAsia="黑体" w:cs="黑体"/>
          <w:color w:val="auto"/>
          <w:sz w:val="24"/>
          <w:szCs w:val="24"/>
          <w:highlight w:val="none"/>
          <w:u w:val="single"/>
          <w:lang w:val="en-US" w:eastAsia="zh-CN" w:bidi="ar-SA"/>
        </w:rPr>
        <w:t xml:space="preserve">   </w:t>
      </w:r>
      <w:r>
        <w:rPr>
          <w:rFonts w:hint="eastAsia" w:ascii="黑体" w:hAnsi="黑体" w:eastAsia="黑体" w:cs="黑体"/>
          <w:color w:val="auto"/>
          <w:sz w:val="24"/>
          <w:szCs w:val="24"/>
          <w:highlight w:val="none"/>
          <w:lang w:val="en-US" w:eastAsia="zh-CN" w:bidi="ar-SA"/>
        </w:rPr>
        <w:t xml:space="preserve">%），小写￥</w:t>
      </w:r>
      <w:r>
        <w:rPr>
          <w:rFonts w:hint="eastAsia" w:ascii="黑体" w:hAnsi="黑体" w:eastAsia="黑体" w:cs="黑体"/>
          <w:color w:val="auto"/>
          <w:sz w:val="24"/>
          <w:szCs w:val="24"/>
          <w:highlight w:val="none"/>
          <w:u w:val="single"/>
          <w:lang w:val="en-US" w:eastAsia="zh-CN" w:bidi="ar-SA"/>
        </w:rPr>
        <w:t xml:space="preserve">   </w:t>
      </w:r>
      <w:r>
        <w:rPr>
          <w:rFonts w:hint="eastAsia" w:ascii="黑体" w:hAnsi="黑体" w:eastAsia="黑体" w:cs="黑体"/>
          <w:color w:val="auto"/>
          <w:sz w:val="24"/>
          <w:szCs w:val="24"/>
          <w:highlight w:val="none"/>
          <w:lang w:val="en-US" w:eastAsia="zh-CN" w:bidi="ar-SA"/>
        </w:rPr>
        <w:t xml:space="preserve">大写：</w:t>
      </w:r>
      <w:r>
        <w:rPr>
          <w:rFonts w:hint="eastAsia" w:ascii="黑体" w:hAnsi="黑体" w:eastAsia="黑体" w:cs="黑体"/>
          <w:color w:val="auto"/>
          <w:sz w:val="24"/>
          <w:szCs w:val="24"/>
          <w:highlight w:val="none"/>
          <w:u w:val="single"/>
          <w:lang w:val="en-US" w:eastAsia="zh-CN" w:bidi="ar-SA"/>
        </w:rPr>
        <w:t xml:space="preserve">   </w:t>
      </w:r>
      <w:r>
        <w:rPr>
          <w:rFonts w:hint="eastAsia" w:ascii="黑体" w:hAnsi="黑体" w:eastAsia="黑体" w:cs="黑体"/>
          <w:color w:val="auto"/>
          <w:sz w:val="24"/>
          <w:szCs w:val="24"/>
          <w:highlight w:val="none"/>
          <w:lang w:val="en-US" w:eastAsia="zh-CN" w:bidi="ar-SA"/>
        </w:rPr>
        <w:t xml:space="preserve">人民币。</w:t>
      </w:r>
      <w:r/>
    </w:p>
    <w:p>
      <w:pPr>
        <w:ind w:firstLine="480"/>
        <w:jc w:val="left"/>
        <w:spacing w:line="360" w:lineRule="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乙方需提交的支付文件：乙方出具的全额正式发票。</w:t>
      </w:r>
      <w:r/>
    </w:p>
    <w:p>
      <w:pPr>
        <w:ind w:firstLine="480"/>
        <w:jc w:val="left"/>
        <w:spacing w:line="360" w:lineRule="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（2）验收合格后</w:t>
      </w:r>
      <w:r>
        <w:rPr>
          <w:rFonts w:hint="eastAsia" w:ascii="黑体" w:hAnsi="黑体" w:eastAsia="黑体" w:cs="黑体"/>
          <w:color w:val="auto"/>
          <w:sz w:val="24"/>
          <w:szCs w:val="24"/>
          <w:highlight w:val="none"/>
          <w:u w:val="single"/>
          <w:lang w:val="en-US" w:eastAsia="zh-CN" w:bidi="ar-SA"/>
        </w:rPr>
        <w:t xml:space="preserve">   </w:t>
      </w:r>
      <w:r>
        <w:rPr>
          <w:rFonts w:hint="eastAsia" w:ascii="黑体" w:hAnsi="黑体" w:eastAsia="黑体" w:cs="黑体"/>
          <w:color w:val="auto"/>
          <w:sz w:val="24"/>
          <w:szCs w:val="24"/>
          <w:highlight w:val="none"/>
          <w:lang w:val="en-US" w:eastAsia="zh-CN" w:bidi="ar-SA"/>
        </w:rPr>
        <w:t xml:space="preserve">个工作日内，甲方应支付合同价款的百分之</w:t>
      </w:r>
      <w:r>
        <w:rPr>
          <w:rFonts w:hint="eastAsia" w:ascii="黑体" w:hAnsi="黑体" w:eastAsia="黑体" w:cs="黑体"/>
          <w:color w:val="auto"/>
          <w:sz w:val="24"/>
          <w:szCs w:val="24"/>
          <w:highlight w:val="none"/>
          <w:u w:val="single"/>
          <w:lang w:val="en-US" w:eastAsia="zh-CN" w:bidi="ar-SA"/>
        </w:rPr>
        <w:t xml:space="preserve">   </w:t>
      </w:r>
      <w:r>
        <w:rPr>
          <w:rFonts w:hint="eastAsia" w:ascii="黑体" w:hAnsi="黑体" w:eastAsia="黑体" w:cs="黑体"/>
          <w:color w:val="auto"/>
          <w:sz w:val="24"/>
          <w:szCs w:val="24"/>
          <w:highlight w:val="none"/>
          <w:lang w:val="en-US" w:eastAsia="zh-CN" w:bidi="ar-SA"/>
        </w:rPr>
        <w:t xml:space="preserve">（</w:t>
      </w:r>
      <w:r>
        <w:rPr>
          <w:rFonts w:hint="eastAsia" w:ascii="黑体" w:hAnsi="黑体" w:eastAsia="黑体" w:cs="黑体"/>
          <w:color w:val="auto"/>
          <w:sz w:val="24"/>
          <w:szCs w:val="24"/>
          <w:highlight w:val="none"/>
          <w:u w:val="single"/>
          <w:lang w:val="en-US" w:eastAsia="zh-CN" w:bidi="ar-SA"/>
        </w:rPr>
        <w:t xml:space="preserve">   </w:t>
      </w:r>
      <w:r>
        <w:rPr>
          <w:rFonts w:hint="eastAsia" w:ascii="黑体" w:hAnsi="黑体" w:eastAsia="黑体" w:cs="黑体"/>
          <w:color w:val="auto"/>
          <w:sz w:val="24"/>
          <w:szCs w:val="24"/>
          <w:highlight w:val="none"/>
          <w:lang w:val="en-US" w:eastAsia="zh-CN" w:bidi="ar-SA"/>
        </w:rPr>
        <w:t xml:space="preserve">%），小写￥</w:t>
      </w:r>
      <w:r>
        <w:rPr>
          <w:rFonts w:hint="eastAsia" w:ascii="黑体" w:hAnsi="黑体" w:eastAsia="黑体" w:cs="黑体"/>
          <w:color w:val="auto"/>
          <w:sz w:val="24"/>
          <w:szCs w:val="24"/>
          <w:highlight w:val="none"/>
          <w:u w:val="single"/>
          <w:lang w:val="en-US" w:eastAsia="zh-CN" w:bidi="ar-SA"/>
        </w:rPr>
        <w:t xml:space="preserve">   </w:t>
      </w:r>
      <w:r>
        <w:rPr>
          <w:rFonts w:hint="eastAsia" w:ascii="黑体" w:hAnsi="黑体" w:eastAsia="黑体" w:cs="黑体"/>
          <w:color w:val="auto"/>
          <w:sz w:val="24"/>
          <w:szCs w:val="24"/>
          <w:highlight w:val="none"/>
          <w:lang w:val="en-US" w:eastAsia="zh-CN" w:bidi="ar-SA"/>
        </w:rPr>
        <w:t xml:space="preserve">大写：</w:t>
      </w:r>
      <w:r>
        <w:rPr>
          <w:rFonts w:hint="eastAsia" w:ascii="黑体" w:hAnsi="黑体" w:eastAsia="黑体" w:cs="黑体"/>
          <w:color w:val="auto"/>
          <w:sz w:val="24"/>
          <w:szCs w:val="24"/>
          <w:highlight w:val="none"/>
          <w:u w:val="single"/>
          <w:lang w:val="en-US" w:eastAsia="zh-CN" w:bidi="ar-SA"/>
        </w:rPr>
        <w:t xml:space="preserve">   </w:t>
      </w:r>
      <w:r>
        <w:rPr>
          <w:rFonts w:hint="eastAsia" w:ascii="黑体" w:hAnsi="黑体" w:eastAsia="黑体" w:cs="黑体"/>
          <w:color w:val="auto"/>
          <w:sz w:val="24"/>
          <w:szCs w:val="24"/>
          <w:highlight w:val="none"/>
          <w:lang w:val="en-US" w:eastAsia="zh-CN" w:bidi="ar-SA"/>
        </w:rPr>
        <w:t xml:space="preserve">人民币 。 </w:t>
      </w:r>
      <w:r/>
    </w:p>
    <w:p>
      <w:pPr>
        <w:ind w:firstLine="480"/>
        <w:jc w:val="left"/>
        <w:spacing w:line="360" w:lineRule="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 </w:t>
      </w:r>
      <w:r/>
    </w:p>
    <w:p>
      <w:pPr>
        <w:jc w:val="left"/>
        <w:spacing w:line="360" w:lineRule="auto"/>
        <w:widowControl w:val="off"/>
        <w:rPr>
          <w:rFonts w:hint="eastAsia" w:ascii="黑体" w:hAnsi="黑体" w:eastAsia="黑体" w:cs="黑体"/>
          <w:b/>
          <w:bCs/>
          <w:color w:val="auto"/>
          <w:sz w:val="24"/>
          <w:szCs w:val="24"/>
          <w:highlight w:val="none"/>
          <w:lang w:val="en-US" w:eastAsia="zh-CN" w:bidi="ar-SA"/>
        </w:rPr>
      </w:pPr>
      <w:r>
        <w:rPr>
          <w:rFonts w:hint="eastAsia" w:ascii="黑体" w:hAnsi="黑体" w:eastAsia="黑体" w:cs="黑体"/>
          <w:b/>
          <w:bCs/>
          <w:color w:val="auto"/>
          <w:sz w:val="24"/>
          <w:szCs w:val="24"/>
          <w:highlight w:val="none"/>
          <w:lang w:val="en-US" w:eastAsia="zh-CN" w:bidi="ar-SA"/>
        </w:rPr>
        <w:t xml:space="preserve">符合条件二：不提交预付款保函的</w:t>
      </w:r>
      <w:r/>
    </w:p>
    <w:p>
      <w:pPr>
        <w:ind w:firstLine="480"/>
        <w:jc w:val="left"/>
        <w:spacing w:line="360" w:lineRule="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（1）合同签订后</w:t>
      </w:r>
      <w:r>
        <w:rPr>
          <w:rFonts w:hint="eastAsia" w:ascii="黑体" w:hAnsi="黑体" w:eastAsia="黑体" w:cs="黑体"/>
          <w:color w:val="auto"/>
          <w:sz w:val="24"/>
          <w:szCs w:val="24"/>
          <w:highlight w:val="none"/>
          <w:u w:val="single"/>
          <w:lang w:val="en-US" w:eastAsia="zh-CN" w:bidi="ar-SA"/>
        </w:rPr>
        <w:t xml:space="preserve">   </w:t>
      </w:r>
      <w:r>
        <w:rPr>
          <w:rFonts w:hint="eastAsia" w:ascii="黑体" w:hAnsi="黑体" w:eastAsia="黑体" w:cs="黑体"/>
          <w:color w:val="auto"/>
          <w:sz w:val="24"/>
          <w:szCs w:val="24"/>
          <w:highlight w:val="none"/>
          <w:lang w:val="en-US" w:eastAsia="zh-CN" w:bidi="ar-SA"/>
        </w:rPr>
        <w:t xml:space="preserve">个工作日内，甲方应支付合同价款的百分之</w:t>
      </w:r>
      <w:r>
        <w:rPr>
          <w:rFonts w:hint="eastAsia" w:ascii="黑体" w:hAnsi="黑体" w:eastAsia="黑体" w:cs="黑体"/>
          <w:color w:val="auto"/>
          <w:sz w:val="24"/>
          <w:szCs w:val="24"/>
          <w:highlight w:val="none"/>
          <w:u w:val="single"/>
          <w:lang w:val="en-US" w:eastAsia="zh-CN" w:bidi="ar-SA"/>
        </w:rPr>
        <w:t xml:space="preserve">   </w:t>
      </w:r>
      <w:r>
        <w:rPr>
          <w:rFonts w:hint="eastAsia" w:ascii="黑体" w:hAnsi="黑体" w:eastAsia="黑体" w:cs="黑体"/>
          <w:color w:val="auto"/>
          <w:sz w:val="24"/>
          <w:szCs w:val="24"/>
          <w:highlight w:val="none"/>
          <w:lang w:val="en-US" w:eastAsia="zh-CN" w:bidi="ar-SA"/>
        </w:rPr>
        <w:t xml:space="preserve">（</w:t>
      </w:r>
      <w:r>
        <w:rPr>
          <w:rFonts w:hint="eastAsia" w:ascii="黑体" w:hAnsi="黑体" w:eastAsia="黑体" w:cs="黑体"/>
          <w:color w:val="auto"/>
          <w:sz w:val="24"/>
          <w:szCs w:val="24"/>
          <w:highlight w:val="none"/>
          <w:u w:val="single"/>
          <w:lang w:val="en-US" w:eastAsia="zh-CN" w:bidi="ar-SA"/>
        </w:rPr>
        <w:t xml:space="preserve">   </w:t>
      </w:r>
      <w:r>
        <w:rPr>
          <w:rFonts w:hint="eastAsia" w:ascii="黑体" w:hAnsi="黑体" w:eastAsia="黑体" w:cs="黑体"/>
          <w:color w:val="auto"/>
          <w:sz w:val="24"/>
          <w:szCs w:val="24"/>
          <w:highlight w:val="none"/>
          <w:lang w:val="en-US" w:eastAsia="zh-CN" w:bidi="ar-SA"/>
        </w:rPr>
        <w:t xml:space="preserve">%），小写￥</w:t>
      </w:r>
      <w:r>
        <w:rPr>
          <w:rFonts w:hint="eastAsia" w:ascii="黑体" w:hAnsi="黑体" w:eastAsia="黑体" w:cs="黑体"/>
          <w:color w:val="auto"/>
          <w:sz w:val="24"/>
          <w:szCs w:val="24"/>
          <w:highlight w:val="none"/>
          <w:u w:val="single"/>
          <w:lang w:val="en-US" w:eastAsia="zh-CN" w:bidi="ar-SA"/>
        </w:rPr>
        <w:t xml:space="preserve">   </w:t>
      </w:r>
      <w:r>
        <w:rPr>
          <w:rFonts w:hint="eastAsia" w:ascii="黑体" w:hAnsi="黑体" w:eastAsia="黑体" w:cs="黑体"/>
          <w:color w:val="auto"/>
          <w:sz w:val="24"/>
          <w:szCs w:val="24"/>
          <w:highlight w:val="none"/>
          <w:lang w:val="en-US" w:eastAsia="zh-CN" w:bidi="ar-SA"/>
        </w:rPr>
        <w:t xml:space="preserve">大写：</w:t>
      </w:r>
      <w:r>
        <w:rPr>
          <w:rFonts w:hint="eastAsia" w:ascii="黑体" w:hAnsi="黑体" w:eastAsia="黑体" w:cs="黑体"/>
          <w:color w:val="auto"/>
          <w:sz w:val="24"/>
          <w:szCs w:val="24"/>
          <w:highlight w:val="none"/>
          <w:u w:val="single"/>
          <w:lang w:val="en-US" w:eastAsia="zh-CN" w:bidi="ar-SA"/>
        </w:rPr>
        <w:t xml:space="preserve">   </w:t>
      </w:r>
      <w:r>
        <w:rPr>
          <w:rFonts w:hint="eastAsia" w:ascii="黑体" w:hAnsi="黑体" w:eastAsia="黑体" w:cs="黑体"/>
          <w:color w:val="auto"/>
          <w:sz w:val="24"/>
          <w:szCs w:val="24"/>
          <w:highlight w:val="none"/>
          <w:lang w:val="en-US" w:eastAsia="zh-CN" w:bidi="ar-SA"/>
        </w:rPr>
        <w:t xml:space="preserve">人民币。</w:t>
      </w:r>
      <w:r/>
    </w:p>
    <w:p>
      <w:pPr>
        <w:ind w:firstLine="480"/>
        <w:jc w:val="left"/>
        <w:spacing w:line="360" w:lineRule="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乙方需提交的支付文件：乙方出具的全额正式发票。</w:t>
      </w:r>
      <w:r/>
    </w:p>
    <w:p>
      <w:pPr>
        <w:ind w:firstLine="480"/>
        <w:jc w:val="left"/>
        <w:spacing w:line="360" w:lineRule="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（2）验收合格后</w:t>
      </w:r>
      <w:r>
        <w:rPr>
          <w:rFonts w:hint="eastAsia" w:ascii="黑体" w:hAnsi="黑体" w:eastAsia="黑体" w:cs="黑体"/>
          <w:color w:val="auto"/>
          <w:sz w:val="24"/>
          <w:szCs w:val="24"/>
          <w:highlight w:val="none"/>
          <w:u w:val="single"/>
          <w:lang w:val="en-US" w:eastAsia="zh-CN" w:bidi="ar-SA"/>
        </w:rPr>
        <w:t xml:space="preserve">   </w:t>
      </w:r>
      <w:r>
        <w:rPr>
          <w:rFonts w:hint="eastAsia" w:ascii="黑体" w:hAnsi="黑体" w:eastAsia="黑体" w:cs="黑体"/>
          <w:color w:val="auto"/>
          <w:sz w:val="24"/>
          <w:szCs w:val="24"/>
          <w:highlight w:val="none"/>
          <w:lang w:val="en-US" w:eastAsia="zh-CN" w:bidi="ar-SA"/>
        </w:rPr>
        <w:t xml:space="preserve">个工作日内，甲方应支付合同价款的百分之</w:t>
      </w:r>
      <w:r>
        <w:rPr>
          <w:rFonts w:hint="eastAsia" w:ascii="黑体" w:hAnsi="黑体" w:eastAsia="黑体" w:cs="黑体"/>
          <w:color w:val="auto"/>
          <w:sz w:val="24"/>
          <w:szCs w:val="24"/>
          <w:highlight w:val="none"/>
          <w:u w:val="single"/>
          <w:lang w:val="en-US" w:eastAsia="zh-CN" w:bidi="ar-SA"/>
        </w:rPr>
        <w:t xml:space="preserve">   </w:t>
      </w:r>
      <w:r>
        <w:rPr>
          <w:rFonts w:hint="eastAsia" w:ascii="黑体" w:hAnsi="黑体" w:eastAsia="黑体" w:cs="黑体"/>
          <w:color w:val="auto"/>
          <w:sz w:val="24"/>
          <w:szCs w:val="24"/>
          <w:highlight w:val="none"/>
          <w:lang w:val="en-US" w:eastAsia="zh-CN" w:bidi="ar-SA"/>
        </w:rPr>
        <w:t xml:space="preserve">（</w:t>
      </w:r>
      <w:r>
        <w:rPr>
          <w:rFonts w:hint="eastAsia" w:ascii="黑体" w:hAnsi="黑体" w:eastAsia="黑体" w:cs="黑体"/>
          <w:color w:val="auto"/>
          <w:sz w:val="24"/>
          <w:szCs w:val="24"/>
          <w:highlight w:val="none"/>
          <w:u w:val="single"/>
          <w:lang w:val="en-US" w:eastAsia="zh-CN" w:bidi="ar-SA"/>
        </w:rPr>
        <w:t xml:space="preserve">   </w:t>
      </w:r>
      <w:r>
        <w:rPr>
          <w:rFonts w:hint="eastAsia" w:ascii="黑体" w:hAnsi="黑体" w:eastAsia="黑体" w:cs="黑体"/>
          <w:color w:val="auto"/>
          <w:sz w:val="24"/>
          <w:szCs w:val="24"/>
          <w:highlight w:val="none"/>
          <w:lang w:val="en-US" w:eastAsia="zh-CN" w:bidi="ar-SA"/>
        </w:rPr>
        <w:t xml:space="preserve">%），小写￥</w:t>
      </w:r>
      <w:r>
        <w:rPr>
          <w:rFonts w:hint="eastAsia" w:ascii="黑体" w:hAnsi="黑体" w:eastAsia="黑体" w:cs="黑体"/>
          <w:color w:val="auto"/>
          <w:sz w:val="24"/>
          <w:szCs w:val="24"/>
          <w:highlight w:val="none"/>
          <w:u w:val="single"/>
          <w:lang w:val="en-US" w:eastAsia="zh-CN" w:bidi="ar-SA"/>
        </w:rPr>
        <w:t xml:space="preserve">   </w:t>
      </w:r>
      <w:r>
        <w:rPr>
          <w:rFonts w:hint="eastAsia" w:ascii="黑体" w:hAnsi="黑体" w:eastAsia="黑体" w:cs="黑体"/>
          <w:color w:val="auto"/>
          <w:sz w:val="24"/>
          <w:szCs w:val="24"/>
          <w:highlight w:val="none"/>
          <w:lang w:val="en-US" w:eastAsia="zh-CN" w:bidi="ar-SA"/>
        </w:rPr>
        <w:t xml:space="preserve">大写：</w:t>
      </w:r>
      <w:r>
        <w:rPr>
          <w:rFonts w:hint="eastAsia" w:ascii="黑体" w:hAnsi="黑体" w:eastAsia="黑体" w:cs="黑体"/>
          <w:color w:val="auto"/>
          <w:sz w:val="24"/>
          <w:szCs w:val="24"/>
          <w:highlight w:val="none"/>
          <w:u w:val="single"/>
          <w:lang w:val="en-US" w:eastAsia="zh-CN" w:bidi="ar-SA"/>
        </w:rPr>
        <w:t xml:space="preserve">   </w:t>
      </w:r>
      <w:r>
        <w:rPr>
          <w:rFonts w:hint="eastAsia" w:ascii="黑体" w:hAnsi="黑体" w:eastAsia="黑体" w:cs="黑体"/>
          <w:color w:val="auto"/>
          <w:sz w:val="24"/>
          <w:szCs w:val="24"/>
          <w:highlight w:val="none"/>
          <w:lang w:val="en-US" w:eastAsia="zh-CN" w:bidi="ar-SA"/>
        </w:rPr>
        <w:t xml:space="preserve">人民币。</w:t>
      </w:r>
      <w:r/>
    </w:p>
    <w:p>
      <w:pPr>
        <w:ind w:firstLine="480"/>
        <w:jc w:val="left"/>
        <w:spacing w:line="360" w:lineRule="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 </w:t>
      </w:r>
      <w:r/>
    </w:p>
    <w:p>
      <w:pPr>
        <w:ind w:firstLine="480"/>
        <w:jc w:val="left"/>
        <w:spacing w:line="360" w:lineRule="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注: </w:t>
      </w:r>
      <w:r/>
    </w:p>
    <w:p>
      <w:pPr>
        <w:ind w:firstLine="480"/>
        <w:jc w:val="left"/>
        <w:spacing w:line="360" w:lineRule="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1、付款条件一中，出具预付款保函后支付的合同款应当与保函金额一致。</w:t>
      </w:r>
      <w:r/>
    </w:p>
    <w:p>
      <w:pPr>
        <w:ind w:firstLine="480"/>
        <w:jc w:val="left"/>
        <w:spacing w:line="360" w:lineRule="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2、付款条件二中，预付款比例设定应符合《关于做好政府采购支持企业发展有关事项的通知》(苏财购〔2020〕52号)要求。</w:t>
      </w:r>
      <w:r/>
    </w:p>
    <w:p>
      <w:pPr>
        <w:ind w:firstLine="643"/>
        <w:jc w:val="center"/>
        <w:spacing w:line="360" w:lineRule="auto"/>
        <w:widowControl w:val="off"/>
        <w:rPr>
          <w:rFonts w:hint="eastAsia" w:ascii="黑体" w:hAnsi="黑体" w:eastAsia="黑体" w:cs="黑体"/>
          <w:color w:val="auto"/>
          <w:sz w:val="28"/>
          <w:highlight w:val="none"/>
          <w:lang w:val="en-US" w:eastAsia="zh-CN" w:bidi="ar-SA"/>
        </w:rPr>
        <w:outlineLvl w:val="0"/>
      </w:pPr>
      <w:r>
        <w:rPr>
          <w:rFonts w:hint="eastAsia" w:ascii="黑体" w:hAnsi="黑体" w:eastAsia="黑体" w:cs="黑体"/>
          <w:b/>
          <w:color w:val="auto"/>
          <w:sz w:val="32"/>
          <w:szCs w:val="21"/>
          <w:highlight w:val="none"/>
          <w:lang w:val="en-US" w:eastAsia="zh-CN" w:bidi="ar-SA"/>
        </w:rPr>
        <w:br w:type="page" w:clear="all"/>
      </w:r>
      <w:bookmarkStart w:id="79" w:name="_Toc12909"/>
      <w:r/>
      <w:bookmarkStart w:id="80" w:name="_Toc11596"/>
      <w:r/>
      <w:bookmarkStart w:id="81" w:name="_Toc80122315"/>
      <w:r>
        <w:rPr>
          <w:rFonts w:hint="eastAsia" w:ascii="黑体" w:hAnsi="黑体" w:eastAsia="黑体" w:cs="黑体"/>
          <w:b/>
          <w:bCs/>
          <w:color w:val="auto"/>
          <w:sz w:val="28"/>
          <w:szCs w:val="21"/>
          <w:highlight w:val="none"/>
          <w:lang w:val="en-US" w:eastAsia="zh-CN" w:bidi="ar-SA"/>
        </w:rPr>
        <w:t xml:space="preserve">第十章</w:t>
      </w:r>
      <w:bookmarkStart w:id="82" w:name="_Hlk77698623"/>
      <w:r>
        <w:rPr>
          <w:rFonts w:hint="eastAsia" w:ascii="黑体" w:hAnsi="黑体" w:eastAsia="黑体" w:cs="黑体"/>
          <w:b/>
          <w:bCs/>
          <w:color w:val="auto"/>
          <w:sz w:val="28"/>
          <w:szCs w:val="21"/>
          <w:highlight w:val="none"/>
          <w:lang w:val="en-US" w:eastAsia="zh-CN" w:bidi="ar-SA"/>
        </w:rPr>
        <w:t xml:space="preserve"> 拟签订的合同文本</w:t>
      </w:r>
      <w:bookmarkEnd w:id="79"/>
      <w:r/>
      <w:bookmarkEnd w:id="80"/>
      <w:r/>
      <w:bookmarkEnd w:id="81"/>
      <w:r/>
      <w:bookmarkEnd w:id="82"/>
      <w:r/>
      <w:r/>
    </w:p>
    <w:p>
      <w:pPr>
        <w:jc w:val="center"/>
        <w:spacing w:line="360" w:lineRule="auto"/>
        <w:widowControl/>
        <w:rPr>
          <w:rFonts w:hint="eastAsia" w:ascii="黑体" w:hAnsi="黑体" w:eastAsia="黑体" w:cs="黑体"/>
          <w:b/>
          <w:color w:val="auto"/>
          <w:sz w:val="32"/>
          <w:szCs w:val="32"/>
          <w:highlight w:val="none"/>
        </w:rPr>
      </w:pPr>
      <w:r/>
      <w:bookmarkStart w:id="83" w:name="_Toc498006748"/>
      <w:r/>
      <w:bookmarkStart w:id="84" w:name="_Toc358569763"/>
      <w:r/>
      <w:bookmarkStart w:id="85" w:name="_Toc80122316"/>
      <w:r/>
      <w:r/>
    </w:p>
    <w:p>
      <w:pPr>
        <w:jc w:val="center"/>
        <w:spacing w:line="360" w:lineRule="auto"/>
        <w:widowControl/>
        <w:rPr>
          <w:rFonts w:hint="eastAsia" w:ascii="黑体" w:hAnsi="黑体" w:eastAsia="黑体" w:cs="黑体"/>
          <w:b/>
          <w:color w:val="auto"/>
          <w:sz w:val="32"/>
          <w:szCs w:val="32"/>
          <w:highlight w:val="none"/>
        </w:rPr>
      </w:pPr>
      <w:r>
        <w:rPr>
          <w:rFonts w:hint="eastAsia" w:ascii="黑体" w:hAnsi="黑体" w:eastAsia="黑体" w:cs="黑体"/>
          <w:b/>
          <w:color w:val="auto"/>
          <w:sz w:val="32"/>
          <w:szCs w:val="32"/>
          <w:highlight w:val="none"/>
        </w:rPr>
        <w:t xml:space="preserve">建设工程施工合同</w:t>
      </w:r>
      <w:r>
        <w:rPr>
          <w:rFonts w:hint="eastAsia" w:ascii="黑体" w:hAnsi="黑体" w:eastAsia="黑体" w:cs="黑体"/>
          <w:b/>
          <w:color w:val="auto"/>
          <w:sz w:val="32"/>
          <w:szCs w:val="32"/>
          <w:highlight w:val="none"/>
        </w:rPr>
        <w:br/>
      </w:r>
      <w:r>
        <w:rPr>
          <w:rFonts w:hint="eastAsia" w:ascii="黑体" w:hAnsi="黑体" w:eastAsia="黑体" w:cs="黑体"/>
          <w:b/>
          <w:color w:val="auto"/>
          <w:sz w:val="32"/>
          <w:szCs w:val="32"/>
          <w:highlight w:val="none"/>
        </w:rPr>
        <w:t xml:space="preserve">（示范文本）</w:t>
      </w:r>
      <w:r/>
    </w:p>
    <w:p>
      <w:pPr>
        <w:jc w:val="center"/>
        <w:spacing w:line="360" w:lineRule="auto"/>
        <w:widowControl/>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（GF—2017—0201）</w:t>
      </w:r>
      <w:r/>
    </w:p>
    <w:p>
      <w:pPr>
        <w:jc w:val="center"/>
        <w:spacing w:line="360" w:lineRule="auto"/>
        <w:widowControl/>
        <w:rPr>
          <w:rFonts w:hint="eastAsia" w:ascii="黑体" w:hAnsi="黑体" w:eastAsia="黑体" w:cs="黑体"/>
          <w:b/>
          <w:color w:val="auto"/>
          <w:sz w:val="32"/>
          <w:szCs w:val="32"/>
          <w:highlight w:val="none"/>
        </w:rPr>
      </w:pPr>
      <w:r>
        <w:rPr>
          <w:rFonts w:hint="eastAsia" w:ascii="黑体" w:hAnsi="黑体" w:eastAsia="黑体" w:cs="黑体"/>
          <w:b/>
          <w:color w:val="auto"/>
          <w:sz w:val="32"/>
          <w:szCs w:val="32"/>
          <w:highlight w:val="none"/>
        </w:rPr>
      </w:r>
      <w:r/>
    </w:p>
    <w:p>
      <w:pPr>
        <w:jc w:val="center"/>
        <w:spacing w:line="360" w:lineRule="auto"/>
        <w:widowControl/>
        <w:rPr>
          <w:rFonts w:hint="eastAsia" w:ascii="黑体" w:hAnsi="黑体" w:eastAsia="黑体" w:cs="黑体"/>
          <w:b/>
          <w:color w:val="auto"/>
          <w:sz w:val="72"/>
          <w:szCs w:val="72"/>
          <w:highlight w:val="none"/>
        </w:rPr>
      </w:pPr>
      <w:r>
        <w:rPr>
          <w:rFonts w:hint="eastAsia" w:ascii="黑体" w:hAnsi="黑体" w:eastAsia="黑体" w:cs="黑体"/>
          <w:b/>
          <w:color w:val="auto"/>
          <w:sz w:val="72"/>
          <w:szCs w:val="72"/>
          <w:highlight w:val="none"/>
        </w:rPr>
      </w:r>
      <w:r/>
    </w:p>
    <w:p>
      <w:pPr>
        <w:ind w:firstLine="2520"/>
        <w:spacing w:after="120" w:line="360" w:lineRule="auto"/>
        <w:widowControl/>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项目名称： </w:t>
      </w:r>
      <w:r/>
    </w:p>
    <w:p>
      <w:pPr>
        <w:ind w:firstLine="2520"/>
        <w:spacing w:after="120" w:line="360" w:lineRule="auto"/>
        <w:widowControl/>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标段名称：</w:t>
      </w:r>
      <w:r/>
    </w:p>
    <w:p>
      <w:pPr>
        <w:ind w:firstLine="2400"/>
        <w:jc w:val="left"/>
        <w:spacing w:after="0" w:line="360" w:lineRule="auto"/>
        <w:widowControl w:val="off"/>
        <w:rPr>
          <w:rFonts w:hint="eastAsia" w:ascii="黑体" w:hAnsi="黑体" w:eastAsia="黑体" w:cs="黑体"/>
          <w:bCs/>
          <w:color w:val="auto"/>
          <w:sz w:val="24"/>
          <w:szCs w:val="24"/>
          <w:highlight w:val="none"/>
          <w:lang w:val="en-US" w:eastAsia="zh-CN" w:bidi="ar-SA"/>
        </w:rPr>
      </w:pPr>
      <w:r>
        <w:rPr>
          <w:rFonts w:hint="eastAsia" w:ascii="黑体" w:hAnsi="黑体" w:eastAsia="黑体" w:cs="黑体"/>
          <w:bCs/>
          <w:color w:val="auto"/>
          <w:sz w:val="24"/>
          <w:szCs w:val="24"/>
          <w:highlight w:val="none"/>
          <w:lang w:val="en-US" w:eastAsia="zh-CN" w:bidi="ar-SA"/>
        </w:rPr>
        <w:t xml:space="preserve">发包人（全称）：</w:t>
      </w:r>
      <w:r>
        <w:rPr>
          <w:rFonts w:hint="eastAsia" w:ascii="黑体" w:hAnsi="黑体" w:eastAsia="黑体" w:cs="黑体"/>
          <w:bCs/>
          <w:color w:val="auto"/>
          <w:sz w:val="24"/>
          <w:szCs w:val="24"/>
          <w:highlight w:val="none"/>
          <w:u w:val="single"/>
          <w:lang w:val="en-US" w:eastAsia="zh-CN" w:bidi="ar-SA"/>
        </w:rPr>
        <w:t xml:space="preserve">                     </w:t>
      </w:r>
      <w:r>
        <w:rPr>
          <w:rFonts w:hint="eastAsia" w:ascii="黑体" w:hAnsi="黑体" w:eastAsia="黑体" w:cs="黑体"/>
          <w:bCs/>
          <w:color w:val="auto"/>
          <w:sz w:val="24"/>
          <w:szCs w:val="24"/>
          <w:highlight w:val="none"/>
          <w:lang w:val="en-US" w:eastAsia="zh-CN" w:bidi="ar-SA"/>
        </w:rPr>
        <w:t xml:space="preserve"> </w:t>
      </w:r>
      <w:r/>
    </w:p>
    <w:p>
      <w:pPr>
        <w:ind w:firstLine="2400"/>
        <w:jc w:val="left"/>
        <w:spacing w:after="0" w:line="360" w:lineRule="auto"/>
        <w:widowControl w:val="off"/>
        <w:rPr>
          <w:rFonts w:hint="eastAsia" w:ascii="黑体" w:hAnsi="黑体" w:eastAsia="黑体" w:cs="黑体"/>
          <w:b/>
          <w:color w:val="auto"/>
          <w:sz w:val="21"/>
          <w:szCs w:val="21"/>
          <w:highlight w:val="none"/>
          <w:u w:val="single"/>
          <w:lang w:val="en-US" w:eastAsia="zh-CN" w:bidi="ar-SA"/>
        </w:rPr>
      </w:pPr>
      <w:r>
        <w:rPr>
          <w:rFonts w:hint="eastAsia" w:ascii="黑体" w:hAnsi="黑体" w:eastAsia="黑体" w:cs="黑体"/>
          <w:bCs/>
          <w:color w:val="auto"/>
          <w:sz w:val="24"/>
          <w:szCs w:val="24"/>
          <w:highlight w:val="none"/>
          <w:lang w:val="en-US" w:eastAsia="zh-CN" w:bidi="ar-SA"/>
        </w:rPr>
        <w:t xml:space="preserve">承包人（全称）：</w:t>
      </w:r>
      <w:r>
        <w:rPr>
          <w:rFonts w:hint="eastAsia" w:ascii="黑体" w:hAnsi="黑体" w:eastAsia="黑体" w:cs="黑体"/>
          <w:bCs/>
          <w:color w:val="auto"/>
          <w:sz w:val="24"/>
          <w:szCs w:val="24"/>
          <w:highlight w:val="none"/>
          <w:u w:val="single"/>
          <w:lang w:val="en-US" w:eastAsia="zh-CN" w:bidi="ar-SA"/>
        </w:rPr>
        <w:t xml:space="preserve">              </w:t>
      </w:r>
      <w:r>
        <w:rPr>
          <w:rFonts w:hint="eastAsia" w:ascii="黑体" w:hAnsi="黑体" w:eastAsia="黑体" w:cs="黑体"/>
          <w:b/>
          <w:color w:val="auto"/>
          <w:sz w:val="21"/>
          <w:szCs w:val="21"/>
          <w:highlight w:val="none"/>
          <w:u w:val="single"/>
          <w:lang w:val="en-US" w:eastAsia="zh-CN" w:bidi="ar-SA"/>
        </w:rPr>
        <w:t xml:space="preserve">            </w:t>
      </w:r>
      <w:r/>
    </w:p>
    <w:p>
      <w:pPr>
        <w:ind w:firstLine="2400"/>
        <w:jc w:val="left"/>
        <w:spacing w:after="0" w:line="360" w:lineRule="auto"/>
        <w:widowControl w:val="off"/>
        <w:rPr>
          <w:rFonts w:hint="eastAsia" w:ascii="黑体" w:hAnsi="黑体" w:eastAsia="黑体" w:cs="黑体"/>
          <w:b/>
          <w:color w:val="auto"/>
          <w:sz w:val="28"/>
          <w:szCs w:val="28"/>
          <w:highlight w:val="none"/>
          <w:lang w:val="en-US" w:eastAsia="zh-CN" w:bidi="ar-SA"/>
        </w:rPr>
      </w:pPr>
      <w:r>
        <w:rPr>
          <w:rFonts w:hint="eastAsia" w:ascii="黑体" w:hAnsi="黑体" w:eastAsia="黑体" w:cs="黑体"/>
          <w:bCs/>
          <w:color w:val="auto"/>
          <w:sz w:val="24"/>
          <w:szCs w:val="24"/>
          <w:highlight w:val="none"/>
          <w:lang w:val="en-US" w:eastAsia="zh-CN" w:bidi="ar-SA"/>
        </w:rPr>
        <w:t xml:space="preserve">合同签订日期：   年   月   日</w:t>
      </w:r>
      <w:r/>
    </w:p>
    <w:p>
      <w:pPr>
        <w:jc w:val="center"/>
        <w:spacing w:line="360" w:lineRule="auto"/>
        <w:widowControl/>
        <w:rPr>
          <w:rFonts w:hint="eastAsia" w:ascii="黑体" w:hAnsi="黑体" w:eastAsia="黑体" w:cs="黑体"/>
          <w:b/>
          <w:color w:val="auto"/>
          <w:sz w:val="72"/>
          <w:szCs w:val="72"/>
          <w:highlight w:val="none"/>
        </w:rPr>
      </w:pPr>
      <w:r>
        <w:rPr>
          <w:rFonts w:hint="eastAsia" w:ascii="黑体" w:hAnsi="黑体" w:eastAsia="黑体" w:cs="黑体"/>
          <w:b/>
          <w:color w:val="auto"/>
          <w:sz w:val="72"/>
          <w:szCs w:val="72"/>
          <w:highlight w:val="none"/>
        </w:rPr>
      </w:r>
      <w:r/>
    </w:p>
    <w:p>
      <w:pPr>
        <w:ind w:firstLine="480"/>
        <w:jc w:val="both"/>
        <w:spacing w:line="360" w:lineRule="auto"/>
        <w:rPr>
          <w:rFonts w:hint="eastAsia" w:ascii="黑体" w:hAnsi="黑体" w:eastAsia="黑体" w:cs="黑体"/>
          <w:b w:val="0"/>
          <w:bCs w:val="0"/>
          <w:color w:val="auto"/>
          <w:sz w:val="24"/>
          <w:szCs w:val="24"/>
          <w:highlight w:val="none"/>
          <w:lang w:val="en-US" w:eastAsia="zh-CN" w:bidi="ar-SA"/>
        </w:rPr>
      </w:pPr>
      <w:r>
        <w:rPr>
          <w:rFonts w:hint="eastAsia" w:ascii="黑体" w:hAnsi="黑体" w:eastAsia="黑体" w:cs="黑体"/>
          <w:b w:val="0"/>
          <w:bCs w:val="0"/>
          <w:color w:val="auto"/>
          <w:sz w:val="24"/>
          <w:szCs w:val="24"/>
          <w:highlight w:val="none"/>
          <w:lang w:val="en-US" w:eastAsia="zh-CN" w:bidi="ar-SA"/>
        </w:rPr>
        <w:t xml:space="preserve">友情提醒：采购人与中标、成交供应商应当在中标、成交通知书发出之日起30日内，按照采购文件确定的事项签订政府采购合同。</w:t>
      </w:r>
      <w:r/>
    </w:p>
    <w:p>
      <w:pPr>
        <w:ind w:left="0" w:right="0" w:firstLine="560"/>
        <w:jc w:val="both"/>
        <w:keepLines w:val="0"/>
        <w:keepNext w:val="0"/>
        <w:pageBreakBefore w:val="0"/>
        <w:spacing w:beforeAutospacing="0" w:afterAutospacing="0" w:line="360" w:lineRule="auto"/>
        <w:rPr>
          <w:rFonts w:hint="eastAsia" w:ascii="黑体" w:hAnsi="黑体" w:eastAsia="黑体" w:cs="黑体"/>
          <w:color w:val="auto"/>
          <w:sz w:val="28"/>
          <w:szCs w:val="20"/>
          <w:highlight w:val="none"/>
          <w:lang w:val="en-US" w:eastAsia="zh-CN" w:bidi="ar-SA"/>
        </w:rPr>
      </w:pPr>
      <w:r>
        <w:rPr>
          <w:rFonts w:hint="eastAsia" w:ascii="黑体" w:hAnsi="黑体" w:eastAsia="黑体" w:cs="黑体"/>
          <w:b w:val="0"/>
          <w:bCs w:val="0"/>
          <w:color w:val="auto"/>
          <w:sz w:val="24"/>
          <w:szCs w:val="24"/>
          <w:highlight w:val="none"/>
          <w:lang w:val="en-US" w:eastAsia="zh-CN" w:bidi="ar-SA"/>
        </w:rPr>
        <w:t xml:space="preserve">采购人应当自政府采购合同签订之日起2个</w:t>
      </w:r>
      <w:r>
        <w:rPr>
          <w:rFonts w:hint="eastAsia" w:ascii="黑体" w:hAnsi="黑体" w:eastAsia="黑体" w:cs="黑体"/>
          <w:b w:val="0"/>
          <w:bCs/>
          <w:color w:val="auto"/>
          <w:sz w:val="24"/>
          <w:szCs w:val="24"/>
          <w:highlight w:val="none"/>
          <w:lang w:val="en-US" w:eastAsia="zh-CN" w:bidi="ar-SA"/>
        </w:rPr>
        <w:t xml:space="preserve">工作日内，将政府采购合同在省级以上人民政府财政部门指定的媒体上公告，但政府采购合同中涉及国家秘密、商业秘密的内容除外。</w:t>
      </w:r>
      <w:r/>
    </w:p>
    <w:p>
      <w:pPr>
        <w:ind w:left="0" w:right="0"/>
        <w:keepLines w:val="0"/>
        <w:keepNext w:val="0"/>
        <w:pageBreakBefore w:val="0"/>
        <w:spacing w:beforeAutospacing="0" w:afterAutospacing="0" w:line="360" w:lineRule="auto"/>
        <w:widowControl/>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r>
      <w:r/>
    </w:p>
    <w:p>
      <w:pPr>
        <w:ind w:left="0" w:right="0" w:firstLine="482"/>
        <w:jc w:val="both"/>
        <w:keepLines w:val="0"/>
        <w:keepNext w:val="0"/>
        <w:pageBreakBefore w:val="0"/>
        <w:spacing w:beforeAutospacing="0" w:afterAutospacing="0" w:line="360" w:lineRule="auto"/>
        <w:rPr>
          <w:rFonts w:hint="eastAsia" w:ascii="黑体" w:hAnsi="黑体" w:eastAsia="黑体" w:cs="黑体"/>
          <w:b/>
          <w:color w:val="auto"/>
          <w:sz w:val="24"/>
          <w:szCs w:val="24"/>
          <w:highlight w:val="none"/>
          <w:lang w:val="en-US" w:eastAsia="zh-CN" w:bidi="ar-SA"/>
        </w:rPr>
      </w:pPr>
      <w:r>
        <w:rPr>
          <w:rFonts w:hint="eastAsia" w:ascii="黑体" w:hAnsi="黑体" w:eastAsia="黑体" w:cs="黑体"/>
          <w:b/>
          <w:color w:val="auto"/>
          <w:sz w:val="24"/>
          <w:szCs w:val="24"/>
          <w:highlight w:val="none"/>
          <w:lang w:val="en-US" w:eastAsia="zh-CN" w:bidi="ar-SA"/>
        </w:rPr>
        <w:t xml:space="preserve">特别提醒：</w:t>
      </w:r>
      <w:r/>
    </w:p>
    <w:p>
      <w:pPr>
        <w:spacing w:line="360" w:lineRule="auto"/>
        <w:widowControl/>
        <w:rPr>
          <w:rFonts w:hint="eastAsia" w:ascii="黑体" w:hAnsi="黑体" w:eastAsia="黑体" w:cs="黑体"/>
          <w:b/>
          <w:color w:val="auto"/>
          <w:sz w:val="28"/>
          <w:szCs w:val="28"/>
          <w:highlight w:val="none"/>
        </w:rPr>
      </w:pPr>
      <w:r>
        <w:rPr>
          <w:rFonts w:hint="eastAsia" w:ascii="黑体" w:hAnsi="黑体" w:eastAsia="黑体" w:cs="黑体"/>
          <w:color w:val="auto"/>
          <w:sz w:val="24"/>
          <w:szCs w:val="21"/>
          <w:highlight w:val="none"/>
        </w:rPr>
        <w:t xml:space="preserve">中标人领取中标通知书时须向代理机构提交纸质胶装投标文件一正四副，</w:t>
      </w:r>
      <w:r>
        <w:rPr>
          <w:rFonts w:hint="eastAsia" w:ascii="黑体" w:hAnsi="黑体" w:eastAsia="黑体" w:cs="黑体"/>
          <w:color w:val="auto"/>
          <w:sz w:val="24"/>
          <w:szCs w:val="21"/>
          <w:highlight w:val="none"/>
          <w:lang w:val="en-US" w:eastAsia="zh-CN"/>
        </w:rPr>
        <w:t xml:space="preserve">电子版投标文件二份（U盘）。</w:t>
      </w:r>
      <w:r/>
    </w:p>
    <w:p>
      <w:pPr>
        <w:spacing w:line="360" w:lineRule="auto"/>
        <w:widowControl/>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r>
      <w:r/>
    </w:p>
    <w:p>
      <w:pPr>
        <w:jc w:val="center"/>
        <w:keepLines/>
        <w:keepNext/>
        <w:spacing w:before="0" w:after="0" w:line="360" w:lineRule="auto"/>
        <w:rPr>
          <w:rFonts w:hint="eastAsia" w:ascii="黑体" w:hAnsi="黑体" w:eastAsia="黑体" w:cs="黑体"/>
          <w:color w:val="auto"/>
          <w:sz w:val="24"/>
          <w:szCs w:val="24"/>
          <w:highlight w:val="none"/>
          <w:lang w:val="en-US" w:eastAsia="zh-CN" w:bidi="ar-SA"/>
        </w:rPr>
        <w:outlineLvl w:val="2"/>
      </w:pPr>
      <w:r/>
      <w:bookmarkStart w:id="86" w:name="_Toc296503025"/>
      <w:r/>
      <w:bookmarkStart w:id="87" w:name="_Toc17550"/>
      <w:r/>
      <w:bookmarkStart w:id="88" w:name="_Toc351203480"/>
      <w:r/>
      <w:bookmarkStart w:id="89" w:name="_Toc296890982"/>
      <w:r/>
      <w:bookmarkStart w:id="90" w:name="_Toc24196"/>
      <w:r>
        <w:rPr>
          <w:rFonts w:hint="eastAsia" w:ascii="黑体" w:hAnsi="黑体" w:eastAsia="黑体" w:cs="黑体"/>
          <w:b/>
          <w:bCs/>
          <w:color w:val="auto"/>
          <w:sz w:val="24"/>
          <w:szCs w:val="24"/>
          <w:highlight w:val="none"/>
          <w:lang w:val="en-US" w:eastAsia="zh-CN" w:bidi="ar-SA"/>
        </w:rPr>
        <w:t xml:space="preserve">第一部分 合同协议书</w:t>
      </w:r>
      <w:bookmarkEnd w:id="86"/>
      <w:r/>
      <w:bookmarkEnd w:id="87"/>
      <w:r/>
      <w:bookmarkEnd w:id="88"/>
      <w:r/>
      <w:bookmarkEnd w:id="89"/>
      <w:r/>
      <w:bookmarkEnd w:id="90"/>
      <w:r/>
      <w:r/>
    </w:p>
    <w:p>
      <w:pPr>
        <w:spacing w:line="360" w:lineRule="auto"/>
        <w:widowControl/>
        <w:rPr>
          <w:rFonts w:hint="eastAsia" w:ascii="黑体" w:hAnsi="黑体" w:eastAsia="黑体" w:cs="黑体"/>
          <w:b/>
          <w:color w:val="auto"/>
          <w:szCs w:val="21"/>
          <w:highlight w:val="none"/>
          <w:u w:val="single"/>
        </w:rPr>
      </w:pPr>
      <w:r>
        <w:rPr>
          <w:rFonts w:hint="eastAsia" w:ascii="黑体" w:hAnsi="黑体" w:eastAsia="黑体" w:cs="黑体"/>
          <w:b/>
          <w:color w:val="auto"/>
          <w:szCs w:val="21"/>
          <w:highlight w:val="none"/>
        </w:rPr>
        <w:t xml:space="preserve">发包人（全称）：</w:t>
      </w:r>
      <w:r>
        <w:rPr>
          <w:rFonts w:hint="eastAsia" w:ascii="黑体" w:hAnsi="黑体" w:eastAsia="黑体" w:cs="黑体"/>
          <w:b/>
          <w:color w:val="auto"/>
          <w:szCs w:val="21"/>
          <w:highlight w:val="none"/>
          <w:u w:val="single"/>
        </w:rPr>
        <w:t xml:space="preserve">徐州市市政管理中心</w:t>
      </w:r>
      <w:r/>
    </w:p>
    <w:p>
      <w:pPr>
        <w:spacing w:line="360" w:lineRule="auto"/>
        <w:widowControl/>
        <w:rPr>
          <w:rFonts w:hint="eastAsia" w:ascii="黑体" w:hAnsi="黑体" w:eastAsia="黑体" w:cs="黑体"/>
          <w:b/>
          <w:color w:val="auto"/>
          <w:szCs w:val="21"/>
          <w:highlight w:val="none"/>
          <w:u w:val="single"/>
        </w:rPr>
      </w:pPr>
      <w:r>
        <w:rPr>
          <w:rFonts w:hint="eastAsia" w:ascii="黑体" w:hAnsi="黑体" w:eastAsia="黑体" w:cs="黑体"/>
          <w:b/>
          <w:color w:val="auto"/>
          <w:szCs w:val="21"/>
          <w:highlight w:val="none"/>
        </w:rPr>
        <w:t xml:space="preserve">承包人（全称）：   </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根据《中华人民共和国民法典》、《中华人民共和国建筑法》及有关法律规定、本项目</w:t>
      </w:r>
      <w:r>
        <w:rPr>
          <w:rFonts w:hint="eastAsia" w:ascii="黑体" w:hAnsi="黑体" w:eastAsia="黑体" w:cs="黑体"/>
          <w:color w:val="auto"/>
          <w:szCs w:val="21"/>
          <w:highlight w:val="none"/>
          <w:lang w:eastAsia="zh-CN"/>
        </w:rPr>
        <w:t xml:space="preserve">磋商文件</w:t>
      </w:r>
      <w:r>
        <w:rPr>
          <w:rFonts w:hint="eastAsia" w:ascii="黑体" w:hAnsi="黑体" w:eastAsia="黑体" w:cs="黑体"/>
          <w:color w:val="auto"/>
          <w:szCs w:val="21"/>
          <w:highlight w:val="none"/>
        </w:rPr>
        <w:t xml:space="preserve">及中标结果，遵循平等、自愿、公平和诚实信用的原则，双方就</w:t>
      </w:r>
      <w:r>
        <w:rPr>
          <w:rFonts w:hint="eastAsia" w:ascii="黑体" w:hAnsi="黑体" w:eastAsia="黑体" w:cs="黑体"/>
          <w:color w:val="auto"/>
          <w:szCs w:val="21"/>
          <w:highlight w:val="none"/>
          <w:u w:val="single"/>
          <w:lang w:eastAsia="zh-CN"/>
        </w:rPr>
        <w:t xml:space="preserve">2026年度市管道路零星沟槽修复工程</w:t>
      </w:r>
      <w:r>
        <w:rPr>
          <w:rFonts w:hint="eastAsia" w:ascii="黑体" w:hAnsi="黑体" w:eastAsia="黑体" w:cs="黑体"/>
          <w:color w:val="auto"/>
          <w:szCs w:val="21"/>
          <w:highlight w:val="none"/>
        </w:rPr>
        <w:t xml:space="preserve">施工及有关事项协商一致，共同达成如下协议：</w:t>
      </w:r>
      <w:r/>
    </w:p>
    <w:p>
      <w:pPr>
        <w:spacing w:line="360" w:lineRule="auto"/>
        <w:widowControl/>
        <w:rPr>
          <w:rFonts w:hint="eastAsia" w:ascii="黑体" w:hAnsi="黑体" w:eastAsia="黑体" w:cs="黑体"/>
          <w:b/>
          <w:color w:val="auto"/>
          <w:szCs w:val="21"/>
          <w:highlight w:val="none"/>
        </w:rPr>
      </w:pPr>
      <w:r/>
      <w:bookmarkStart w:id="91" w:name="_Toc351203481"/>
      <w:r>
        <w:rPr>
          <w:rFonts w:hint="eastAsia" w:ascii="黑体" w:hAnsi="黑体" w:eastAsia="黑体" w:cs="黑体"/>
          <w:b/>
          <w:color w:val="auto"/>
          <w:szCs w:val="21"/>
          <w:highlight w:val="none"/>
        </w:rPr>
        <w:t xml:space="preserve">一、工程概况</w:t>
      </w:r>
      <w:bookmarkEnd w:id="91"/>
      <w:r/>
      <w:r/>
    </w:p>
    <w:p>
      <w:pPr>
        <w:ind w:firstLine="420"/>
        <w:jc w:val="left"/>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1.工程名称：</w:t>
      </w:r>
      <w:r>
        <w:rPr>
          <w:rFonts w:hint="eastAsia" w:ascii="黑体" w:hAnsi="黑体" w:eastAsia="黑体" w:cs="黑体"/>
          <w:color w:val="auto"/>
          <w:szCs w:val="21"/>
          <w:highlight w:val="none"/>
          <w:u w:val="single"/>
          <w:lang w:eastAsia="zh-CN"/>
        </w:rPr>
        <w:t xml:space="preserve">2026年度市管道路零星沟槽修复工程</w:t>
      </w:r>
      <w:r>
        <w:rPr>
          <w:rFonts w:hint="eastAsia" w:ascii="黑体" w:hAnsi="黑体" w:eastAsia="黑体" w:cs="黑体"/>
          <w:color w:val="auto"/>
          <w:szCs w:val="21"/>
          <w:highlight w:val="none"/>
        </w:rPr>
        <w:t xml:space="preserve">。</w:t>
      </w:r>
      <w:r/>
    </w:p>
    <w:p>
      <w:pPr>
        <w:ind w:firstLine="420"/>
        <w:jc w:val="left"/>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2.工程地点：</w:t>
      </w:r>
      <w:r>
        <w:rPr>
          <w:rFonts w:hint="eastAsia" w:ascii="黑体" w:hAnsi="黑体" w:eastAsia="黑体" w:cs="黑体"/>
          <w:color w:val="auto"/>
          <w:szCs w:val="21"/>
          <w:highlight w:val="none"/>
          <w:u w:val="single"/>
        </w:rPr>
        <w:t xml:space="preserve">徐州市主城区</w:t>
      </w:r>
      <w:r>
        <w:rPr>
          <w:rFonts w:hint="eastAsia" w:ascii="黑体" w:hAnsi="黑体" w:eastAsia="黑体" w:cs="黑体"/>
          <w:color w:val="auto"/>
          <w:szCs w:val="21"/>
          <w:highlight w:val="none"/>
        </w:rPr>
        <w:t xml:space="preserve">。</w:t>
      </w:r>
      <w:r/>
    </w:p>
    <w:p>
      <w:pPr>
        <w:ind w:firstLine="420"/>
        <w:jc w:val="left"/>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3.资金来源：</w:t>
      </w:r>
      <w:r>
        <w:rPr>
          <w:rFonts w:hint="eastAsia" w:ascii="黑体" w:hAnsi="黑体" w:eastAsia="黑体" w:cs="黑体"/>
          <w:color w:val="auto"/>
          <w:szCs w:val="21"/>
          <w:highlight w:val="none"/>
          <w:u w:val="single"/>
        </w:rPr>
        <w:t xml:space="preserve">部门预算资金  </w:t>
      </w:r>
      <w:r>
        <w:rPr>
          <w:rFonts w:hint="eastAsia" w:ascii="黑体" w:hAnsi="黑体" w:eastAsia="黑体" w:cs="黑体"/>
          <w:color w:val="auto"/>
          <w:szCs w:val="21"/>
          <w:highlight w:val="none"/>
        </w:rPr>
        <w:t xml:space="preserve">。</w:t>
      </w:r>
      <w:r/>
    </w:p>
    <w:p>
      <w:pPr>
        <w:ind w:firstLine="420"/>
        <w:jc w:val="both"/>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4.工程内容：2026年度市管道路零星沟槽修复工程，包含市管道路零星沟槽修复等，不包含在建道路，以及还在保修期内的道路的修复，另所有标段中的沟槽修复施工均包含突发应急除险项目施工。</w:t>
      </w:r>
      <w:r/>
    </w:p>
    <w:p>
      <w:pPr>
        <w:ind w:firstLine="420"/>
        <w:jc w:val="both"/>
        <w:keepLines w:val="0"/>
        <w:keepNext w:val="0"/>
        <w:pageBreakBefore w:val="0"/>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采购包1：2026年市管道路零星沟槽修复工程一标段（云龙区），施工区域为云龙区；</w:t>
      </w:r>
      <w:r/>
    </w:p>
    <w:p>
      <w:pPr>
        <w:ind w:firstLine="420"/>
        <w:jc w:val="both"/>
        <w:keepLines w:val="0"/>
        <w:keepNext w:val="0"/>
        <w:pageBreakBefore w:val="0"/>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采购包2：2026年市管道路零星沟槽修复工程二标段（鼓楼区），施工区域为鼓楼区；</w:t>
      </w:r>
      <w:r/>
    </w:p>
    <w:p>
      <w:pPr>
        <w:ind w:firstLine="420"/>
        <w:jc w:val="both"/>
        <w:keepLines w:val="0"/>
        <w:keepNext w:val="0"/>
        <w:pageBreakBefore w:val="0"/>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采购包3：2026年市管道路零星沟槽修复工程三标段（泉山区），施工区域为泉山区；</w:t>
      </w:r>
      <w:r/>
    </w:p>
    <w:p>
      <w:pPr>
        <w:ind w:firstLine="420"/>
        <w:jc w:val="both"/>
        <w:keepLines w:val="0"/>
        <w:keepNext w:val="0"/>
        <w:pageBreakBefore w:val="0"/>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采购包4：2026年市管道路零星沟槽修复工程四标段（新城区），施工区域为新城区；</w:t>
      </w:r>
      <w:r/>
    </w:p>
    <w:p>
      <w:pPr>
        <w:ind w:firstLine="420"/>
        <w:jc w:val="both"/>
        <w:keepLines w:val="0"/>
        <w:keepNext w:val="0"/>
        <w:pageBreakBefore w:val="0"/>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采购包5：2026年市管道路零星沟槽修复工程五标段（九里区），施工区域为九里区。</w:t>
      </w:r>
      <w:r/>
    </w:p>
    <w:p>
      <w:pPr>
        <w:ind w:firstLine="420"/>
        <w:jc w:val="both"/>
        <w:spacing w:line="360" w:lineRule="auto"/>
        <w:widowControl w:val="off"/>
        <w:rPr>
          <w:rFonts w:hint="eastAsia" w:ascii="黑体" w:hAnsi="黑体" w:eastAsia="黑体" w:cs="黑体"/>
          <w:bCs/>
          <w:color w:val="auto"/>
          <w:sz w:val="21"/>
          <w:szCs w:val="21"/>
          <w:highlight w:val="none"/>
          <w:lang w:val="en-US" w:eastAsia="zh-CN" w:bidi="ar-SA"/>
        </w:rPr>
      </w:pPr>
      <w:r>
        <w:rPr>
          <w:rFonts w:hint="eastAsia" w:ascii="黑体" w:hAnsi="黑体" w:eastAsia="黑体" w:cs="黑体"/>
          <w:bCs/>
          <w:color w:val="auto"/>
          <w:sz w:val="21"/>
          <w:szCs w:val="21"/>
          <w:highlight w:val="none"/>
          <w:lang w:val="en-US" w:eastAsia="zh-CN" w:bidi="ar-SA"/>
        </w:rPr>
        <w:t xml:space="preserve">5.工程承包范围：</w:t>
      </w:r>
      <w:r>
        <w:rPr>
          <w:rFonts w:hint="eastAsia" w:ascii="黑体" w:hAnsi="黑体" w:eastAsia="黑体" w:cs="黑体"/>
          <w:color w:val="auto"/>
          <w:sz w:val="21"/>
          <w:szCs w:val="21"/>
          <w:highlight w:val="none"/>
          <w:lang w:val="en-US" w:eastAsia="zh-CN" w:bidi="ar-SA"/>
        </w:rPr>
        <w:t xml:space="preserve">采购包</w:t>
      </w:r>
      <w:r>
        <w:rPr>
          <w:rFonts w:hint="eastAsia" w:ascii="黑体" w:hAnsi="黑体" w:eastAsia="黑体" w:cs="黑体"/>
          <w:color w:val="auto"/>
          <w:sz w:val="21"/>
          <w:szCs w:val="21"/>
          <w:highlight w:val="none"/>
          <w:u w:val="single"/>
          <w:lang w:val="en-US" w:eastAsia="zh-CN" w:bidi="ar-SA"/>
        </w:rPr>
        <w:t xml:space="preserve">        ，</w:t>
      </w:r>
      <w:r>
        <w:rPr>
          <w:rFonts w:hint="eastAsia" w:ascii="黑体" w:hAnsi="黑体" w:eastAsia="黑体" w:cs="黑体"/>
          <w:color w:val="auto"/>
          <w:sz w:val="21"/>
          <w:szCs w:val="21"/>
          <w:highlight w:val="none"/>
          <w:lang w:val="en-US" w:eastAsia="zh-CN" w:bidi="ar-SA"/>
        </w:rPr>
        <w:t xml:space="preserve">详见工程量清单所含全部内容</w:t>
      </w:r>
      <w:r>
        <w:rPr>
          <w:rFonts w:hint="eastAsia" w:ascii="黑体" w:hAnsi="黑体" w:eastAsia="黑体" w:cs="黑体"/>
          <w:bCs/>
          <w:color w:val="auto"/>
          <w:sz w:val="21"/>
          <w:szCs w:val="21"/>
          <w:highlight w:val="none"/>
          <w:lang w:val="en-US" w:eastAsia="zh-CN" w:bidi="ar-SA"/>
        </w:rPr>
        <w:t xml:space="preserve">。</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6.承包方式：</w:t>
      </w:r>
      <w:bookmarkStart w:id="92" w:name="_Toc351203482"/>
      <w:r>
        <w:rPr>
          <w:rFonts w:hint="eastAsia" w:ascii="黑体" w:hAnsi="黑体" w:eastAsia="黑体" w:cs="黑体"/>
          <w:color w:val="auto"/>
          <w:szCs w:val="21"/>
          <w:highlight w:val="none"/>
        </w:rPr>
        <w:t xml:space="preserve">以包工包料的方式实施</w:t>
      </w:r>
      <w:r>
        <w:rPr>
          <w:rFonts w:hint="eastAsia" w:ascii="黑体" w:hAnsi="黑体" w:eastAsia="黑体" w:cs="黑体"/>
          <w:color w:val="auto"/>
          <w:szCs w:val="21"/>
          <w:highlight w:val="none"/>
          <w:lang w:val="en-US" w:eastAsia="zh-CN"/>
        </w:rPr>
        <w:t xml:space="preserve">施工</w:t>
      </w:r>
      <w:r>
        <w:rPr>
          <w:rFonts w:hint="eastAsia" w:ascii="黑体" w:hAnsi="黑体" w:eastAsia="黑体" w:cs="黑体"/>
          <w:color w:val="auto"/>
          <w:szCs w:val="21"/>
          <w:highlight w:val="none"/>
        </w:rPr>
        <w:t xml:space="preserve">总承包，不得分包与转包。</w:t>
      </w:r>
      <w:r/>
    </w:p>
    <w:p>
      <w:pPr>
        <w:spacing w:line="360" w:lineRule="auto"/>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二、合同工期</w:t>
      </w:r>
      <w:bookmarkEnd w:id="92"/>
      <w:r>
        <w:rPr>
          <w:rFonts w:hint="eastAsia" w:ascii="黑体" w:hAnsi="黑体" w:eastAsia="黑体" w:cs="黑体"/>
          <w:b/>
          <w:bCs/>
          <w:color w:val="auto"/>
          <w:szCs w:val="21"/>
          <w:highlight w:val="none"/>
        </w:rPr>
        <w:t xml:space="preserve">：壹年，自</w:t>
      </w:r>
      <w:r>
        <w:rPr>
          <w:rFonts w:hint="eastAsia" w:ascii="黑体" w:hAnsi="黑体" w:eastAsia="黑体" w:cs="黑体"/>
          <w:b/>
          <w:bCs/>
          <w:color w:val="auto"/>
          <w:szCs w:val="21"/>
          <w:highlight w:val="none"/>
          <w:u w:val="single"/>
        </w:rPr>
        <w:t xml:space="preserve">   </w:t>
      </w:r>
      <w:r>
        <w:rPr>
          <w:rFonts w:hint="eastAsia" w:ascii="黑体" w:hAnsi="黑体" w:eastAsia="黑体" w:cs="黑体"/>
          <w:b/>
          <w:bCs/>
          <w:color w:val="auto"/>
          <w:szCs w:val="21"/>
          <w:highlight w:val="none"/>
        </w:rPr>
        <w:t xml:space="preserve">年</w:t>
      </w:r>
      <w:r>
        <w:rPr>
          <w:rFonts w:hint="eastAsia" w:ascii="黑体" w:hAnsi="黑体" w:eastAsia="黑体" w:cs="黑体"/>
          <w:b/>
          <w:bCs/>
          <w:color w:val="auto"/>
          <w:szCs w:val="21"/>
          <w:highlight w:val="none"/>
          <w:u w:val="single"/>
        </w:rPr>
        <w:t xml:space="preserve">   </w:t>
      </w:r>
      <w:r>
        <w:rPr>
          <w:rFonts w:hint="eastAsia" w:ascii="黑体" w:hAnsi="黑体" w:eastAsia="黑体" w:cs="黑体"/>
          <w:b/>
          <w:bCs/>
          <w:color w:val="auto"/>
          <w:szCs w:val="21"/>
          <w:highlight w:val="none"/>
        </w:rPr>
        <w:t xml:space="preserve">月</w:t>
      </w:r>
      <w:r>
        <w:rPr>
          <w:rFonts w:hint="eastAsia" w:ascii="黑体" w:hAnsi="黑体" w:eastAsia="黑体" w:cs="黑体"/>
          <w:b/>
          <w:bCs/>
          <w:color w:val="auto"/>
          <w:szCs w:val="21"/>
          <w:highlight w:val="none"/>
          <w:u w:val="single"/>
        </w:rPr>
        <w:t xml:space="preserve">   </w:t>
      </w:r>
      <w:r>
        <w:rPr>
          <w:rFonts w:hint="eastAsia" w:ascii="黑体" w:hAnsi="黑体" w:eastAsia="黑体" w:cs="黑体"/>
          <w:b/>
          <w:bCs/>
          <w:color w:val="auto"/>
          <w:szCs w:val="21"/>
          <w:highlight w:val="none"/>
        </w:rPr>
        <w:t xml:space="preserve">日 至</w:t>
      </w:r>
      <w:r>
        <w:rPr>
          <w:rFonts w:hint="eastAsia" w:ascii="黑体" w:hAnsi="黑体" w:eastAsia="黑体" w:cs="黑体"/>
          <w:b/>
          <w:bCs/>
          <w:color w:val="auto"/>
          <w:szCs w:val="21"/>
          <w:highlight w:val="none"/>
          <w:u w:val="single"/>
        </w:rPr>
        <w:t xml:space="preserve">   </w:t>
      </w:r>
      <w:r>
        <w:rPr>
          <w:rFonts w:hint="eastAsia" w:ascii="黑体" w:hAnsi="黑体" w:eastAsia="黑体" w:cs="黑体"/>
          <w:b/>
          <w:bCs/>
          <w:color w:val="auto"/>
          <w:szCs w:val="21"/>
          <w:highlight w:val="none"/>
        </w:rPr>
        <w:t xml:space="preserve">年</w:t>
      </w:r>
      <w:r>
        <w:rPr>
          <w:rFonts w:hint="eastAsia" w:ascii="黑体" w:hAnsi="黑体" w:eastAsia="黑体" w:cs="黑体"/>
          <w:b/>
          <w:bCs/>
          <w:color w:val="auto"/>
          <w:szCs w:val="21"/>
          <w:highlight w:val="none"/>
          <w:u w:val="single"/>
        </w:rPr>
        <w:t xml:space="preserve">   </w:t>
      </w:r>
      <w:r>
        <w:rPr>
          <w:rFonts w:hint="eastAsia" w:ascii="黑体" w:hAnsi="黑体" w:eastAsia="黑体" w:cs="黑体"/>
          <w:b/>
          <w:bCs/>
          <w:color w:val="auto"/>
          <w:szCs w:val="21"/>
          <w:highlight w:val="none"/>
        </w:rPr>
        <w:t xml:space="preserve">月</w:t>
      </w:r>
      <w:r>
        <w:rPr>
          <w:rFonts w:hint="eastAsia" w:ascii="黑体" w:hAnsi="黑体" w:eastAsia="黑体" w:cs="黑体"/>
          <w:b/>
          <w:bCs/>
          <w:color w:val="auto"/>
          <w:szCs w:val="21"/>
          <w:highlight w:val="none"/>
          <w:u w:val="single"/>
        </w:rPr>
        <w:t xml:space="preserve">   </w:t>
      </w:r>
      <w:r>
        <w:rPr>
          <w:rFonts w:hint="eastAsia" w:ascii="黑体" w:hAnsi="黑体" w:eastAsia="黑体" w:cs="黑体"/>
          <w:b/>
          <w:bCs/>
          <w:color w:val="auto"/>
          <w:szCs w:val="21"/>
          <w:highlight w:val="none"/>
        </w:rPr>
        <w:t xml:space="preserve">日。</w:t>
      </w:r>
      <w:r/>
    </w:p>
    <w:p>
      <w:pPr>
        <w:spacing w:line="360" w:lineRule="auto"/>
        <w:widowControl/>
        <w:rPr>
          <w:rFonts w:hint="eastAsia" w:ascii="黑体" w:hAnsi="黑体" w:eastAsia="黑体" w:cs="黑体"/>
          <w:b/>
          <w:color w:val="auto"/>
          <w:szCs w:val="21"/>
          <w:highlight w:val="none"/>
        </w:rPr>
      </w:pPr>
      <w:r/>
      <w:bookmarkStart w:id="93" w:name="_Toc351203483"/>
      <w:r>
        <w:rPr>
          <w:rFonts w:hint="eastAsia" w:ascii="黑体" w:hAnsi="黑体" w:eastAsia="黑体" w:cs="黑体"/>
          <w:b/>
          <w:color w:val="auto"/>
          <w:szCs w:val="21"/>
          <w:highlight w:val="none"/>
        </w:rPr>
        <w:t xml:space="preserve">三、质量标准</w:t>
      </w:r>
      <w:bookmarkEnd w:id="93"/>
      <w:r/>
      <w:r/>
    </w:p>
    <w:p>
      <w:pPr>
        <w:ind w:firstLine="420"/>
        <w:jc w:val="left"/>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工程质量符合</w:t>
      </w:r>
      <w:r>
        <w:rPr>
          <w:rFonts w:hint="eastAsia" w:ascii="黑体" w:hAnsi="黑体" w:eastAsia="黑体" w:cs="黑体"/>
          <w:color w:val="auto"/>
          <w:szCs w:val="21"/>
          <w:highlight w:val="none"/>
          <w:u w:val="single"/>
        </w:rPr>
        <w:t xml:space="preserve">   合格    </w:t>
      </w:r>
      <w:r>
        <w:rPr>
          <w:rFonts w:hint="eastAsia" w:ascii="黑体" w:hAnsi="黑体" w:eastAsia="黑体" w:cs="黑体"/>
          <w:color w:val="auto"/>
          <w:szCs w:val="21"/>
          <w:highlight w:val="none"/>
        </w:rPr>
        <w:t xml:space="preserve">标准。符合相关验收要求（标准），符合《城镇道路工程施工与质量验收规范》及发包人要求。</w:t>
      </w:r>
      <w:r/>
    </w:p>
    <w:p>
      <w:pPr>
        <w:spacing w:line="360" w:lineRule="auto"/>
        <w:widowControl/>
        <w:rPr>
          <w:rFonts w:hint="eastAsia" w:ascii="黑体" w:hAnsi="黑体" w:eastAsia="黑体" w:cs="黑体"/>
          <w:b/>
          <w:color w:val="auto"/>
          <w:szCs w:val="21"/>
          <w:highlight w:val="none"/>
        </w:rPr>
      </w:pPr>
      <w:r/>
      <w:bookmarkStart w:id="94" w:name="_Toc351203484"/>
      <w:r>
        <w:rPr>
          <w:rFonts w:hint="eastAsia" w:ascii="黑体" w:hAnsi="黑体" w:eastAsia="黑体" w:cs="黑体"/>
          <w:b/>
          <w:color w:val="auto"/>
          <w:szCs w:val="21"/>
          <w:highlight w:val="none"/>
        </w:rPr>
        <w:t xml:space="preserve">四、签约合同价与合同价格形式</w:t>
      </w:r>
      <w:bookmarkEnd w:id="94"/>
      <w:r>
        <w:rPr>
          <w:rFonts w:hint="eastAsia" w:ascii="黑体" w:hAnsi="黑体" w:eastAsia="黑体" w:cs="黑体"/>
          <w:b/>
          <w:color w:val="auto"/>
          <w:szCs w:val="21"/>
          <w:highlight w:val="none"/>
        </w:rPr>
        <w:tab/>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1.签约合同价：优惠率</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2.中标单价=</w:t>
      </w:r>
      <w:r>
        <w:rPr>
          <w:rFonts w:hint="eastAsia" w:ascii="黑体" w:hAnsi="黑体" w:eastAsia="黑体" w:cs="黑体"/>
          <w:color w:val="auto"/>
          <w:szCs w:val="21"/>
          <w:highlight w:val="none"/>
          <w:lang w:val="en-US" w:eastAsia="zh-CN"/>
        </w:rPr>
        <w:t xml:space="preserve">采购</w:t>
      </w:r>
      <w:r>
        <w:rPr>
          <w:rFonts w:hint="eastAsia" w:ascii="黑体" w:hAnsi="黑体" w:eastAsia="黑体" w:cs="黑体"/>
          <w:color w:val="auto"/>
          <w:szCs w:val="21"/>
          <w:highlight w:val="none"/>
        </w:rPr>
        <w:t xml:space="preserve">控制单价（详见本项目磋商文件采购需求）×（1-中标优惠率</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w:t>
      </w:r>
      <w:r/>
    </w:p>
    <w:p>
      <w:pPr>
        <w:ind w:firstLine="422"/>
        <w:jc w:val="both"/>
        <w:spacing w:line="360" w:lineRule="auto"/>
        <w:widowControl w:val="off"/>
        <w:rPr>
          <w:rFonts w:hint="eastAsia" w:ascii="黑体" w:hAnsi="黑体" w:eastAsia="黑体" w:cs="黑体"/>
          <w:color w:val="auto"/>
          <w:sz w:val="21"/>
          <w:szCs w:val="21"/>
          <w:highlight w:val="none"/>
          <w:lang w:val="en-US" w:eastAsia="zh-CN" w:bidi="ar-SA"/>
        </w:rPr>
      </w:pPr>
      <w:r/>
      <w:bookmarkStart w:id="95" w:name="_Toc351203485"/>
      <w:r>
        <w:rPr>
          <w:rFonts w:hint="eastAsia" w:ascii="黑体" w:hAnsi="黑体" w:eastAsia="黑体" w:cs="黑体"/>
          <w:color w:val="auto"/>
          <w:sz w:val="21"/>
          <w:szCs w:val="21"/>
          <w:highlight w:val="none"/>
          <w:lang w:val="en-US" w:eastAsia="zh-CN" w:bidi="ar-SA"/>
        </w:rPr>
        <w:t xml:space="preserve">3.合同价格形式：</w:t>
      </w:r>
      <w:r>
        <w:rPr>
          <w:rFonts w:hint="eastAsia" w:ascii="黑体" w:hAnsi="黑体" w:eastAsia="黑体" w:cs="黑体"/>
          <w:color w:val="auto"/>
          <w:sz w:val="21"/>
          <w:szCs w:val="21"/>
          <w:highlight w:val="none"/>
          <w:u w:val="single"/>
          <w:lang w:val="en-US" w:eastAsia="zh-CN" w:bidi="ar-SA"/>
        </w:rPr>
        <w:t xml:space="preserve"> </w:t>
      </w:r>
      <w:bookmarkStart w:id="96" w:name="OLE_LINK19"/>
      <w:r>
        <w:rPr>
          <w:rFonts w:hint="eastAsia" w:ascii="黑体" w:hAnsi="黑体" w:eastAsia="黑体" w:cs="黑体"/>
          <w:color w:val="auto"/>
          <w:sz w:val="21"/>
          <w:szCs w:val="21"/>
          <w:highlight w:val="none"/>
          <w:u w:val="single"/>
          <w:lang w:val="en-US" w:eastAsia="zh-CN" w:bidi="ar-SA"/>
        </w:rPr>
        <w:t xml:space="preserve">优惠率合同 。</w:t>
      </w:r>
      <w:r>
        <w:rPr>
          <w:rFonts w:hint="eastAsia" w:ascii="黑体" w:hAnsi="黑体" w:eastAsia="黑体" w:cs="黑体"/>
          <w:color w:val="auto"/>
          <w:sz w:val="21"/>
          <w:szCs w:val="21"/>
          <w:highlight w:val="none"/>
          <w:lang w:val="en-US" w:eastAsia="zh-CN" w:bidi="ar-SA"/>
        </w:rPr>
        <w:t xml:space="preserve">竣工结算时，</w:t>
      </w:r>
      <w:bookmarkEnd w:id="96"/>
      <w:r>
        <w:rPr>
          <w:rFonts w:hint="eastAsia" w:ascii="黑体" w:hAnsi="黑体" w:eastAsia="黑体" w:cs="黑体"/>
          <w:color w:val="auto"/>
          <w:sz w:val="21"/>
          <w:szCs w:val="21"/>
          <w:highlight w:val="none"/>
          <w:lang w:val="en-US" w:eastAsia="zh-CN" w:bidi="ar-SA"/>
        </w:rPr>
        <w:t xml:space="preserve">结算单价按采购控制单价</w:t>
      </w:r>
      <w:bookmarkStart w:id="97" w:name="OLE_LINK20"/>
      <w:r>
        <w:rPr>
          <w:rFonts w:hint="eastAsia" w:ascii="黑体" w:hAnsi="黑体" w:eastAsia="黑体" w:cs="黑体"/>
          <w:color w:val="auto"/>
          <w:sz w:val="21"/>
          <w:szCs w:val="21"/>
          <w:highlight w:val="none"/>
          <w:lang w:val="zh-TW" w:eastAsia="zh-CN" w:bidi="ar-SA"/>
        </w:rPr>
        <w:t xml:space="preserve">×</w:t>
      </w:r>
      <w:bookmarkEnd w:id="97"/>
      <w:r>
        <w:rPr>
          <w:rFonts w:hint="eastAsia" w:ascii="黑体" w:hAnsi="黑体" w:eastAsia="黑体" w:cs="黑体"/>
          <w:color w:val="auto"/>
          <w:sz w:val="21"/>
          <w:szCs w:val="21"/>
          <w:highlight w:val="none"/>
          <w:lang w:val="zh-TW" w:eastAsia="zh-CN" w:bidi="ar-SA"/>
        </w:rPr>
        <w:t xml:space="preserve">（1-中标优惠率）×</w:t>
      </w:r>
      <w:r>
        <w:rPr>
          <w:rFonts w:hint="eastAsia" w:ascii="黑体" w:hAnsi="黑体" w:eastAsia="黑体" w:cs="黑体"/>
          <w:color w:val="auto"/>
          <w:sz w:val="21"/>
          <w:szCs w:val="21"/>
          <w:highlight w:val="none"/>
          <w:lang w:val="en-US" w:eastAsia="zh-CN" w:bidi="ar-SA"/>
        </w:rPr>
        <w:t xml:space="preserve">考核得分百分率，工程量按实际发生量计算。</w:t>
      </w:r>
      <w:r/>
    </w:p>
    <w:p>
      <w:pPr>
        <w:spacing w:line="360" w:lineRule="auto"/>
        <w:widowControl/>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t xml:space="preserve">五、</w:t>
      </w:r>
      <w:bookmarkEnd w:id="95"/>
      <w:r>
        <w:rPr>
          <w:rFonts w:hint="eastAsia" w:ascii="黑体" w:hAnsi="黑体" w:eastAsia="黑体" w:cs="黑体"/>
          <w:b/>
          <w:color w:val="auto"/>
          <w:szCs w:val="21"/>
          <w:highlight w:val="none"/>
        </w:rPr>
        <w:t xml:space="preserve">项目经理</w:t>
      </w:r>
      <w:r/>
    </w:p>
    <w:p>
      <w:pPr>
        <w:ind w:firstLine="420"/>
        <w:jc w:val="left"/>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承包人项目经理：</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，身份证号：</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 。</w:t>
      </w:r>
      <w:r>
        <w:rPr>
          <w:rFonts w:hint="eastAsia" w:ascii="黑体" w:hAnsi="黑体" w:eastAsia="黑体" w:cs="黑体"/>
          <w:color w:val="auto"/>
          <w:szCs w:val="21"/>
          <w:highlight w:val="none"/>
          <w:u w:val="single"/>
        </w:rPr>
        <w:t xml:space="preserve">                  </w:t>
      </w:r>
      <w:r/>
    </w:p>
    <w:p>
      <w:pPr>
        <w:spacing w:line="360" w:lineRule="auto"/>
        <w:widowControl/>
        <w:rPr>
          <w:rFonts w:hint="eastAsia" w:ascii="黑体" w:hAnsi="黑体" w:eastAsia="黑体" w:cs="黑体"/>
          <w:b/>
          <w:color w:val="auto"/>
          <w:szCs w:val="21"/>
          <w:highlight w:val="none"/>
        </w:rPr>
      </w:pPr>
      <w:r/>
      <w:bookmarkStart w:id="98" w:name="_Toc351203486"/>
      <w:r>
        <w:rPr>
          <w:rFonts w:hint="eastAsia" w:ascii="黑体" w:hAnsi="黑体" w:eastAsia="黑体" w:cs="黑体"/>
          <w:b/>
          <w:color w:val="auto"/>
          <w:szCs w:val="21"/>
          <w:highlight w:val="none"/>
        </w:rPr>
        <w:t xml:space="preserve">六、合同文件构成</w:t>
      </w:r>
      <w:bookmarkEnd w:id="98"/>
      <w:r/>
      <w:r/>
    </w:p>
    <w:p>
      <w:pPr>
        <w:ind w:firstLine="420"/>
        <w:spacing w:line="360" w:lineRule="auto"/>
        <w:widowControl/>
        <w:rPr>
          <w:rFonts w:hint="eastAsia" w:ascii="黑体" w:hAnsi="黑体" w:eastAsia="黑体" w:cs="黑体"/>
          <w:bCs/>
          <w:color w:val="auto"/>
          <w:szCs w:val="21"/>
          <w:highlight w:val="none"/>
        </w:rPr>
      </w:pPr>
      <w:r>
        <w:rPr>
          <w:rFonts w:hint="eastAsia" w:ascii="黑体" w:hAnsi="黑体" w:eastAsia="黑体" w:cs="黑体"/>
          <w:bCs/>
          <w:color w:val="auto"/>
          <w:szCs w:val="21"/>
          <w:highlight w:val="none"/>
        </w:rPr>
        <w:t xml:space="preserve">本协议书与下列文件一起构成合同文件：</w:t>
      </w:r>
      <w:r/>
    </w:p>
    <w:p>
      <w:pPr>
        <w:ind w:firstLine="420"/>
        <w:jc w:val="left"/>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（1）中标通知书（如果有）；</w:t>
      </w:r>
      <w:r/>
    </w:p>
    <w:p>
      <w:pPr>
        <w:ind w:firstLine="420"/>
        <w:jc w:val="left"/>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（2）投标函及其附录（如果有）； </w:t>
      </w:r>
      <w:r/>
    </w:p>
    <w:p>
      <w:pPr>
        <w:ind w:firstLine="420"/>
        <w:jc w:val="left"/>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（3）专用合同条款及其附件；</w:t>
      </w:r>
      <w:r/>
    </w:p>
    <w:p>
      <w:pPr>
        <w:ind w:firstLine="420"/>
        <w:jc w:val="left"/>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（4）通用合同条款；</w:t>
      </w:r>
      <w:r/>
    </w:p>
    <w:p>
      <w:pPr>
        <w:ind w:firstLine="420"/>
        <w:jc w:val="left"/>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（5）技术标准和要求；</w:t>
      </w:r>
      <w:r/>
    </w:p>
    <w:p>
      <w:pPr>
        <w:ind w:firstLine="420"/>
        <w:jc w:val="left"/>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（6）图纸；</w:t>
      </w:r>
      <w:r/>
    </w:p>
    <w:p>
      <w:pPr>
        <w:ind w:firstLine="420"/>
        <w:jc w:val="left"/>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（7）已标价工程量清单或预算书；</w:t>
      </w:r>
      <w:r/>
    </w:p>
    <w:p>
      <w:pPr>
        <w:ind w:firstLine="420"/>
        <w:jc w:val="left"/>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（8）其他合同文件。</w:t>
      </w:r>
      <w:r/>
    </w:p>
    <w:p>
      <w:pPr>
        <w:ind w:firstLine="420"/>
        <w:jc w:val="left"/>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在合同订立及履行过程中形成的与合同有关的文件均构成合同文件组成部分。</w:t>
      </w:r>
      <w:r/>
    </w:p>
    <w:p>
      <w:pPr>
        <w:jc w:val="left"/>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spacing w:line="360" w:lineRule="auto"/>
        <w:widowControl/>
        <w:rPr>
          <w:rFonts w:hint="eastAsia" w:ascii="黑体" w:hAnsi="黑体" w:eastAsia="黑体" w:cs="黑体"/>
          <w:b/>
          <w:bCs/>
          <w:color w:val="auto"/>
          <w:szCs w:val="21"/>
          <w:highlight w:val="none"/>
        </w:rPr>
      </w:pPr>
      <w:r/>
      <w:bookmarkStart w:id="99" w:name="_Toc351203487"/>
      <w:r>
        <w:rPr>
          <w:rFonts w:hint="eastAsia" w:ascii="黑体" w:hAnsi="黑体" w:eastAsia="黑体" w:cs="黑体"/>
          <w:b/>
          <w:bCs/>
          <w:color w:val="auto"/>
          <w:szCs w:val="21"/>
          <w:highlight w:val="none"/>
        </w:rPr>
        <w:t xml:space="preserve">七、承诺</w:t>
      </w:r>
      <w:bookmarkEnd w:id="99"/>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1.发包人承诺按照法律规定履行项目审批手续、筹集工程建设资金并按照合同约定的期限和方式支付合同价款。</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3.发包人和承包人通过招投标形式签订合同的，双方理解并承诺不再就同一工程另行签订与合同实质性内容相背离的协议。</w:t>
      </w:r>
      <w:r/>
    </w:p>
    <w:p>
      <w:pPr>
        <w:spacing w:line="360" w:lineRule="auto"/>
        <w:widowControl/>
        <w:rPr>
          <w:rFonts w:hint="eastAsia" w:ascii="黑体" w:hAnsi="黑体" w:eastAsia="黑体" w:cs="黑体"/>
          <w:b/>
          <w:color w:val="auto"/>
          <w:szCs w:val="21"/>
          <w:highlight w:val="none"/>
        </w:rPr>
      </w:pPr>
      <w:r/>
      <w:bookmarkStart w:id="100" w:name="_Toc351203488"/>
      <w:r>
        <w:rPr>
          <w:rFonts w:hint="eastAsia" w:ascii="黑体" w:hAnsi="黑体" w:eastAsia="黑体" w:cs="黑体"/>
          <w:b/>
          <w:color w:val="auto"/>
          <w:szCs w:val="21"/>
          <w:highlight w:val="none"/>
        </w:rPr>
        <w:t xml:space="preserve">八、词语含义</w:t>
      </w:r>
      <w:bookmarkEnd w:id="100"/>
      <w:r/>
      <w:r/>
    </w:p>
    <w:p>
      <w:pPr>
        <w:ind w:firstLine="420"/>
        <w:spacing w:line="360" w:lineRule="auto"/>
        <w:widowControl/>
        <w:rPr>
          <w:rFonts w:hint="eastAsia" w:ascii="黑体" w:hAnsi="黑体" w:eastAsia="黑体" w:cs="黑体"/>
          <w:bCs/>
          <w:color w:val="auto"/>
          <w:szCs w:val="21"/>
          <w:highlight w:val="none"/>
        </w:rPr>
      </w:pPr>
      <w:r>
        <w:rPr>
          <w:rFonts w:hint="eastAsia" w:ascii="黑体" w:hAnsi="黑体" w:eastAsia="黑体" w:cs="黑体"/>
          <w:bCs/>
          <w:color w:val="auto"/>
          <w:szCs w:val="21"/>
          <w:highlight w:val="none"/>
        </w:rPr>
        <w:t xml:space="preserve">本协议书中词语含义与第二部分通用合同条款中赋予的含义相同。</w:t>
      </w:r>
      <w:r/>
    </w:p>
    <w:p>
      <w:pPr>
        <w:spacing w:line="360" w:lineRule="auto"/>
        <w:widowControl/>
        <w:rPr>
          <w:rFonts w:hint="eastAsia" w:ascii="黑体" w:hAnsi="黑体" w:eastAsia="黑体" w:cs="黑体"/>
          <w:b/>
          <w:color w:val="auto"/>
          <w:szCs w:val="21"/>
          <w:highlight w:val="none"/>
        </w:rPr>
      </w:pPr>
      <w:r/>
      <w:bookmarkStart w:id="101" w:name="_Toc351203489"/>
      <w:r>
        <w:rPr>
          <w:rFonts w:hint="eastAsia" w:ascii="黑体" w:hAnsi="黑体" w:eastAsia="黑体" w:cs="黑体"/>
          <w:b/>
          <w:color w:val="auto"/>
          <w:szCs w:val="21"/>
          <w:highlight w:val="none"/>
        </w:rPr>
        <w:t xml:space="preserve">九、签订时间</w:t>
      </w:r>
      <w:bookmarkEnd w:id="101"/>
      <w:r/>
      <w:r/>
    </w:p>
    <w:p>
      <w:pPr>
        <w:ind w:firstLine="420"/>
        <w:spacing w:line="360" w:lineRule="auto"/>
        <w:widowControl/>
        <w:rPr>
          <w:rFonts w:hint="eastAsia" w:ascii="黑体" w:hAnsi="黑体" w:eastAsia="黑体" w:cs="黑体"/>
          <w:bCs/>
          <w:color w:val="auto"/>
          <w:szCs w:val="21"/>
          <w:highlight w:val="none"/>
        </w:rPr>
      </w:pPr>
      <w:r>
        <w:rPr>
          <w:rFonts w:hint="eastAsia" w:ascii="黑体" w:hAnsi="黑体" w:eastAsia="黑体" w:cs="黑体"/>
          <w:bCs/>
          <w:color w:val="auto"/>
          <w:szCs w:val="21"/>
          <w:highlight w:val="none"/>
        </w:rPr>
        <w:t xml:space="preserve">本合同于</w:t>
      </w:r>
      <w:r>
        <w:rPr>
          <w:rFonts w:hint="eastAsia" w:ascii="黑体" w:hAnsi="黑体" w:eastAsia="黑体" w:cs="黑体"/>
          <w:bCs/>
          <w:color w:val="auto"/>
          <w:szCs w:val="21"/>
          <w:highlight w:val="none"/>
          <w:u w:val="single"/>
        </w:rPr>
        <w:t xml:space="preserve">    </w:t>
      </w:r>
      <w:r>
        <w:rPr>
          <w:rFonts w:hint="eastAsia" w:ascii="黑体" w:hAnsi="黑体" w:eastAsia="黑体" w:cs="黑体"/>
          <w:bCs/>
          <w:color w:val="auto"/>
          <w:szCs w:val="21"/>
          <w:highlight w:val="none"/>
        </w:rPr>
        <w:t xml:space="preserve">年</w:t>
      </w:r>
      <w:r>
        <w:rPr>
          <w:rFonts w:hint="eastAsia" w:ascii="黑体" w:hAnsi="黑体" w:eastAsia="黑体" w:cs="黑体"/>
          <w:bCs/>
          <w:color w:val="auto"/>
          <w:szCs w:val="21"/>
          <w:highlight w:val="none"/>
          <w:u w:val="single"/>
        </w:rPr>
        <w:t xml:space="preserve">    </w:t>
      </w:r>
      <w:r>
        <w:rPr>
          <w:rFonts w:hint="eastAsia" w:ascii="黑体" w:hAnsi="黑体" w:eastAsia="黑体" w:cs="黑体"/>
          <w:bCs/>
          <w:color w:val="auto"/>
          <w:szCs w:val="21"/>
          <w:highlight w:val="none"/>
        </w:rPr>
        <w:t xml:space="preserve">月</w:t>
      </w:r>
      <w:r>
        <w:rPr>
          <w:rFonts w:hint="eastAsia" w:ascii="黑体" w:hAnsi="黑体" w:eastAsia="黑体" w:cs="黑体"/>
          <w:bCs/>
          <w:color w:val="auto"/>
          <w:szCs w:val="21"/>
          <w:highlight w:val="none"/>
          <w:u w:val="single"/>
        </w:rPr>
        <w:t xml:space="preserve">    </w:t>
      </w:r>
      <w:r>
        <w:rPr>
          <w:rFonts w:hint="eastAsia" w:ascii="黑体" w:hAnsi="黑体" w:eastAsia="黑体" w:cs="黑体"/>
          <w:bCs/>
          <w:color w:val="auto"/>
          <w:szCs w:val="21"/>
          <w:highlight w:val="none"/>
        </w:rPr>
        <w:t xml:space="preserve">日签订。</w:t>
      </w:r>
      <w:r/>
    </w:p>
    <w:p>
      <w:pPr>
        <w:spacing w:line="360" w:lineRule="auto"/>
        <w:widowControl/>
        <w:rPr>
          <w:rFonts w:hint="eastAsia" w:ascii="黑体" w:hAnsi="黑体" w:eastAsia="黑体" w:cs="黑体"/>
          <w:b/>
          <w:color w:val="auto"/>
          <w:szCs w:val="21"/>
          <w:highlight w:val="none"/>
        </w:rPr>
      </w:pPr>
      <w:r/>
      <w:bookmarkStart w:id="102" w:name="_Toc351203490"/>
      <w:r>
        <w:rPr>
          <w:rFonts w:hint="eastAsia" w:ascii="黑体" w:hAnsi="黑体" w:eastAsia="黑体" w:cs="黑体"/>
          <w:b/>
          <w:color w:val="auto"/>
          <w:szCs w:val="21"/>
          <w:highlight w:val="none"/>
        </w:rPr>
        <w:t xml:space="preserve">十、签订地点</w:t>
      </w:r>
      <w:bookmarkEnd w:id="102"/>
      <w:r/>
      <w:r/>
    </w:p>
    <w:p>
      <w:pPr>
        <w:ind w:firstLine="420"/>
        <w:spacing w:line="360" w:lineRule="auto"/>
        <w:widowControl/>
        <w:rPr>
          <w:rFonts w:hint="eastAsia" w:ascii="黑体" w:hAnsi="黑体" w:eastAsia="黑体" w:cs="黑体"/>
          <w:bCs/>
          <w:color w:val="auto"/>
          <w:szCs w:val="21"/>
          <w:highlight w:val="none"/>
        </w:rPr>
      </w:pPr>
      <w:r>
        <w:rPr>
          <w:rFonts w:hint="eastAsia" w:ascii="黑体" w:hAnsi="黑体" w:eastAsia="黑体" w:cs="黑体"/>
          <w:bCs/>
          <w:color w:val="auto"/>
          <w:szCs w:val="21"/>
          <w:highlight w:val="none"/>
        </w:rPr>
        <w:t xml:space="preserve">本合同在</w:t>
      </w:r>
      <w:r>
        <w:rPr>
          <w:rFonts w:hint="eastAsia" w:ascii="黑体" w:hAnsi="黑体" w:eastAsia="黑体" w:cs="黑体"/>
          <w:bCs/>
          <w:color w:val="auto"/>
          <w:szCs w:val="21"/>
          <w:highlight w:val="none"/>
          <w:u w:val="single"/>
        </w:rPr>
        <w:t xml:space="preserve">                </w:t>
      </w:r>
      <w:r>
        <w:rPr>
          <w:rFonts w:hint="eastAsia" w:ascii="黑体" w:hAnsi="黑体" w:eastAsia="黑体" w:cs="黑体"/>
          <w:bCs/>
          <w:color w:val="auto"/>
          <w:szCs w:val="21"/>
          <w:highlight w:val="none"/>
        </w:rPr>
        <w:t xml:space="preserve">签订。</w:t>
      </w:r>
      <w:r/>
    </w:p>
    <w:p>
      <w:pPr>
        <w:spacing w:line="360" w:lineRule="auto"/>
        <w:widowControl/>
        <w:rPr>
          <w:rFonts w:hint="eastAsia" w:ascii="黑体" w:hAnsi="黑体" w:eastAsia="黑体" w:cs="黑体"/>
          <w:b/>
          <w:color w:val="auto"/>
          <w:szCs w:val="21"/>
          <w:highlight w:val="none"/>
        </w:rPr>
      </w:pPr>
      <w:r/>
      <w:bookmarkStart w:id="103" w:name="_Toc351203491"/>
      <w:r>
        <w:rPr>
          <w:rFonts w:hint="eastAsia" w:ascii="黑体" w:hAnsi="黑体" w:eastAsia="黑体" w:cs="黑体"/>
          <w:b/>
          <w:color w:val="auto"/>
          <w:szCs w:val="21"/>
          <w:highlight w:val="none"/>
        </w:rPr>
        <w:t xml:space="preserve">十一、补充协议</w:t>
      </w:r>
      <w:bookmarkEnd w:id="103"/>
      <w:r/>
      <w:r/>
    </w:p>
    <w:p>
      <w:pPr>
        <w:ind w:firstLine="420"/>
        <w:spacing w:line="360" w:lineRule="auto"/>
        <w:widowControl/>
        <w:rPr>
          <w:rFonts w:hint="eastAsia" w:ascii="黑体" w:hAnsi="黑体" w:eastAsia="黑体" w:cs="黑体"/>
          <w:b/>
          <w:bCs/>
          <w:color w:val="auto"/>
          <w:szCs w:val="21"/>
          <w:highlight w:val="none"/>
        </w:rPr>
      </w:pPr>
      <w:r>
        <w:rPr>
          <w:rFonts w:hint="eastAsia" w:ascii="黑体" w:hAnsi="黑体" w:eastAsia="黑体" w:cs="黑体"/>
          <w:bCs/>
          <w:color w:val="auto"/>
          <w:szCs w:val="21"/>
          <w:highlight w:val="none"/>
        </w:rPr>
        <w:t xml:space="preserve">合同未尽事宜，合同当事人另行签订补充协议，补充协议是合同的组成部分。</w:t>
      </w:r>
      <w:r/>
    </w:p>
    <w:p>
      <w:pPr>
        <w:spacing w:line="360" w:lineRule="auto"/>
        <w:widowControl/>
        <w:rPr>
          <w:rFonts w:hint="eastAsia" w:ascii="黑体" w:hAnsi="黑体" w:eastAsia="黑体" w:cs="黑体"/>
          <w:color w:val="auto"/>
          <w:szCs w:val="21"/>
          <w:highlight w:val="none"/>
        </w:rPr>
      </w:pPr>
      <w:r/>
      <w:bookmarkStart w:id="104" w:name="_Toc351203492"/>
      <w:r>
        <w:rPr>
          <w:rFonts w:hint="eastAsia" w:ascii="黑体" w:hAnsi="黑体" w:eastAsia="黑体" w:cs="黑体"/>
          <w:color w:val="auto"/>
          <w:szCs w:val="21"/>
          <w:highlight w:val="none"/>
        </w:rPr>
        <w:t xml:space="preserve">十二、合同生效</w:t>
      </w:r>
      <w:bookmarkEnd w:id="104"/>
      <w:r/>
      <w:r/>
    </w:p>
    <w:p>
      <w:pPr>
        <w:ind w:firstLine="420"/>
        <w:spacing w:line="360" w:lineRule="auto"/>
        <w:widowControl/>
        <w:rPr>
          <w:rFonts w:hint="eastAsia" w:ascii="黑体" w:hAnsi="黑体" w:eastAsia="黑体" w:cs="黑体"/>
          <w:bCs/>
          <w:color w:val="auto"/>
          <w:szCs w:val="21"/>
          <w:highlight w:val="none"/>
        </w:rPr>
      </w:pPr>
      <w:r>
        <w:rPr>
          <w:rFonts w:hint="eastAsia" w:ascii="黑体" w:hAnsi="黑体" w:eastAsia="黑体" w:cs="黑体"/>
          <w:bCs/>
          <w:color w:val="auto"/>
          <w:szCs w:val="21"/>
          <w:highlight w:val="none"/>
        </w:rPr>
        <w:t xml:space="preserve">本合同自</w:t>
      </w:r>
      <w:r>
        <w:rPr>
          <w:rFonts w:hint="eastAsia" w:ascii="黑体" w:hAnsi="黑体" w:eastAsia="黑体" w:cs="黑体"/>
          <w:bCs/>
          <w:color w:val="auto"/>
          <w:szCs w:val="21"/>
          <w:highlight w:val="none"/>
          <w:u w:val="single"/>
        </w:rPr>
        <w:t xml:space="preserve">   双方签字并盖章后  </w:t>
      </w:r>
      <w:r>
        <w:rPr>
          <w:rFonts w:hint="eastAsia" w:ascii="黑体" w:hAnsi="黑体" w:eastAsia="黑体" w:cs="黑体"/>
          <w:bCs/>
          <w:color w:val="auto"/>
          <w:szCs w:val="21"/>
          <w:highlight w:val="none"/>
        </w:rPr>
        <w:t xml:space="preserve">生效。</w:t>
      </w:r>
      <w:r/>
    </w:p>
    <w:p>
      <w:pPr>
        <w:ind w:firstLine="420"/>
        <w:spacing w:line="360" w:lineRule="auto"/>
        <w:widowControl/>
        <w:rPr>
          <w:rFonts w:hint="eastAsia" w:ascii="黑体" w:hAnsi="黑体" w:eastAsia="黑体" w:cs="黑体"/>
          <w:color w:val="auto"/>
          <w:szCs w:val="21"/>
          <w:highlight w:val="none"/>
        </w:rPr>
      </w:pPr>
      <w:r/>
      <w:bookmarkStart w:id="105" w:name="_Toc351203493"/>
      <w:r>
        <w:rPr>
          <w:rFonts w:hint="eastAsia" w:ascii="黑体" w:hAnsi="黑体" w:eastAsia="黑体" w:cs="黑体"/>
          <w:color w:val="auto"/>
          <w:szCs w:val="21"/>
          <w:highlight w:val="none"/>
        </w:rPr>
        <w:t xml:space="preserve">十三、合同份数</w:t>
      </w:r>
      <w:bookmarkEnd w:id="105"/>
      <w:r/>
      <w:r/>
    </w:p>
    <w:p>
      <w:pPr>
        <w:ind w:firstLine="420"/>
        <w:spacing w:line="360" w:lineRule="auto"/>
        <w:widowControl/>
        <w:rPr>
          <w:rFonts w:hint="eastAsia" w:ascii="黑体" w:hAnsi="黑体" w:eastAsia="黑体" w:cs="黑体"/>
          <w:bCs/>
          <w:color w:val="auto"/>
          <w:szCs w:val="21"/>
          <w:highlight w:val="none"/>
        </w:rPr>
      </w:pPr>
      <w:r>
        <w:rPr>
          <w:rFonts w:hint="eastAsia" w:ascii="黑体" w:hAnsi="黑体" w:eastAsia="黑体" w:cs="黑体"/>
          <w:bCs/>
          <w:color w:val="auto"/>
          <w:szCs w:val="21"/>
          <w:highlight w:val="none"/>
        </w:rPr>
        <w:t xml:space="preserve">本合同一式</w:t>
      </w:r>
      <w:r>
        <w:rPr>
          <w:rFonts w:hint="eastAsia" w:ascii="黑体" w:hAnsi="黑体" w:eastAsia="黑体" w:cs="黑体"/>
          <w:bCs/>
          <w:color w:val="auto"/>
          <w:szCs w:val="21"/>
          <w:highlight w:val="none"/>
          <w:u w:val="single"/>
        </w:rPr>
        <w:t xml:space="preserve">  四  </w:t>
      </w:r>
      <w:r>
        <w:rPr>
          <w:rFonts w:hint="eastAsia" w:ascii="黑体" w:hAnsi="黑体" w:eastAsia="黑体" w:cs="黑体"/>
          <w:bCs/>
          <w:color w:val="auto"/>
          <w:szCs w:val="21"/>
          <w:highlight w:val="none"/>
        </w:rPr>
        <w:t xml:space="preserve">份，均具有同等法律效力，发包人执</w:t>
      </w:r>
      <w:r>
        <w:rPr>
          <w:rFonts w:hint="eastAsia" w:ascii="黑体" w:hAnsi="黑体" w:eastAsia="黑体" w:cs="黑体"/>
          <w:bCs/>
          <w:color w:val="auto"/>
          <w:szCs w:val="21"/>
          <w:highlight w:val="none"/>
          <w:u w:val="single"/>
        </w:rPr>
        <w:t xml:space="preserve"> 二  </w:t>
      </w:r>
      <w:r>
        <w:rPr>
          <w:rFonts w:hint="eastAsia" w:ascii="黑体" w:hAnsi="黑体" w:eastAsia="黑体" w:cs="黑体"/>
          <w:bCs/>
          <w:color w:val="auto"/>
          <w:szCs w:val="21"/>
          <w:highlight w:val="none"/>
        </w:rPr>
        <w:t xml:space="preserve">份，承包人执</w:t>
      </w:r>
      <w:r>
        <w:rPr>
          <w:rFonts w:hint="eastAsia" w:ascii="黑体" w:hAnsi="黑体" w:eastAsia="黑体" w:cs="黑体"/>
          <w:bCs/>
          <w:color w:val="auto"/>
          <w:szCs w:val="21"/>
          <w:highlight w:val="none"/>
          <w:u w:val="single"/>
        </w:rPr>
        <w:t xml:space="preserve">  二 </w:t>
      </w:r>
      <w:r>
        <w:rPr>
          <w:rFonts w:hint="eastAsia" w:ascii="黑体" w:hAnsi="黑体" w:eastAsia="黑体" w:cs="黑体"/>
          <w:bCs/>
          <w:color w:val="auto"/>
          <w:szCs w:val="21"/>
          <w:highlight w:val="none"/>
        </w:rPr>
        <w:t xml:space="preserve"> 份。</w:t>
      </w:r>
      <w:r/>
    </w:p>
    <w:p>
      <w:pP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p>
      <w:pP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发包人：  (公章)             承包人：  (公章)</w:t>
      </w:r>
      <w:r/>
    </w:p>
    <w:p>
      <w:pPr>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r>
      <w:r/>
    </w:p>
    <w:p>
      <w:pP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签订日期：  年  月  日       签订日期：  年  月  日 </w:t>
      </w:r>
      <w:r/>
    </w:p>
    <w:p>
      <w:pP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法定代表人或其委托代理人：  法定代表人或其委托代理人：</w:t>
      </w:r>
      <w:r/>
    </w:p>
    <w:p>
      <w:pPr>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rPr>
        <w:t xml:space="preserve">（签字）                    （签字）</w:t>
      </w:r>
      <w:r/>
    </w:p>
    <w:p>
      <w:pPr>
        <w:spacing w:line="360" w:lineRule="auto"/>
        <w:widowControl/>
        <w:tabs>
          <w:tab w:val="left" w:pos="4410" w:leader="none"/>
        </w:tabs>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组织机构代码：                   组织机构代码：  </w:t>
      </w:r>
      <w:r/>
    </w:p>
    <w:p>
      <w:pP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地  址：                         地  址：</w:t>
      </w:r>
      <w:r/>
    </w:p>
    <w:p>
      <w:pP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法定代表人：                     法定代表人：</w:t>
      </w:r>
      <w:r/>
    </w:p>
    <w:p>
      <w:pP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委托代理人：                     委托代理人：</w:t>
      </w:r>
      <w:r/>
    </w:p>
    <w:p>
      <w:pP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电  话：                         电  话：</w:t>
      </w:r>
      <w:r/>
    </w:p>
    <w:p>
      <w:pP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电子信箱：                       电子信箱：</w:t>
      </w:r>
      <w:r/>
    </w:p>
    <w:p>
      <w:pP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开户银行：                       开户银行：</w:t>
      </w:r>
      <w:r/>
    </w:p>
    <w:p>
      <w:pP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账  号：                         账  号： </w:t>
      </w:r>
      <w:r/>
    </w:p>
    <w:p>
      <w:pPr>
        <w:jc w:val="center"/>
        <w:keepLines/>
        <w:keepNext/>
        <w:spacing w:before="0" w:after="0" w:line="360" w:lineRule="auto"/>
        <w:rPr>
          <w:rFonts w:hint="eastAsia" w:ascii="黑体" w:hAnsi="黑体" w:eastAsia="黑体" w:cs="黑体"/>
          <w:color w:val="auto"/>
          <w:sz w:val="30"/>
          <w:szCs w:val="21"/>
          <w:highlight w:val="none"/>
          <w:lang w:val="en-US" w:eastAsia="zh-CN" w:bidi="ar-SA"/>
        </w:rPr>
        <w:outlineLvl w:val="2"/>
      </w:pPr>
      <w:r>
        <w:rPr>
          <w:rFonts w:hint="eastAsia" w:ascii="黑体" w:hAnsi="黑体" w:eastAsia="黑体" w:cs="黑体"/>
          <w:color w:val="auto"/>
          <w:sz w:val="30"/>
          <w:szCs w:val="21"/>
          <w:highlight w:val="none"/>
          <w:lang w:val="en-US" w:eastAsia="zh-CN" w:bidi="ar-SA"/>
        </w:rPr>
        <w:br w:type="page" w:clear="all"/>
      </w:r>
      <w:bookmarkStart w:id="106" w:name="_Toc29594"/>
      <w:r/>
      <w:bookmarkStart w:id="107" w:name="_Toc29286"/>
      <w:r/>
      <w:bookmarkStart w:id="108" w:name="_Toc351203494"/>
      <w:r>
        <w:rPr>
          <w:rFonts w:hint="eastAsia" w:ascii="黑体" w:hAnsi="黑体" w:eastAsia="黑体" w:cs="黑体"/>
          <w:b/>
          <w:bCs/>
          <w:color w:val="auto"/>
          <w:sz w:val="24"/>
          <w:szCs w:val="18"/>
          <w:highlight w:val="none"/>
          <w:lang w:val="en-US" w:eastAsia="zh-CN" w:bidi="ar-SA"/>
        </w:rPr>
        <w:t xml:space="preserve">第二部分 通用合同条款</w:t>
      </w:r>
      <w:bookmarkEnd w:id="106"/>
      <w:r/>
      <w:bookmarkEnd w:id="107"/>
      <w:r/>
      <w:bookmarkEnd w:id="108"/>
      <w:r/>
      <w:bookmarkStart w:id="109" w:name="_Toc337558727"/>
      <w:r/>
      <w:r/>
    </w:p>
    <w:p>
      <w:pPr>
        <w:jc w:val="center"/>
        <w:spacing w:line="360" w:lineRule="auto"/>
        <w:widowControl/>
        <w:rPr>
          <w:rFonts w:hint="eastAsia" w:ascii="黑体" w:hAnsi="黑体" w:eastAsia="黑体" w:cs="黑体"/>
          <w:color w:val="auto"/>
          <w:szCs w:val="21"/>
          <w:highlight w:val="none"/>
        </w:rPr>
      </w:pPr>
      <w:r>
        <w:rPr>
          <w:rFonts w:hint="eastAsia" w:ascii="黑体" w:hAnsi="黑体" w:eastAsia="黑体" w:cs="黑体"/>
          <w:b/>
          <w:color w:val="auto"/>
          <w:szCs w:val="21"/>
          <w:highlight w:val="none"/>
        </w:rPr>
        <w:t xml:space="preserve">备注：</w:t>
      </w:r>
      <w:r>
        <w:rPr>
          <w:rFonts w:hint="eastAsia" w:ascii="黑体" w:hAnsi="黑体" w:eastAsia="黑体" w:cs="黑体"/>
          <w:color w:val="auto"/>
          <w:szCs w:val="21"/>
          <w:highlight w:val="none"/>
        </w:rPr>
        <w:t xml:space="preserve">本合同通用条款执行建设工程施工合同(GF—2017—0201)</w:t>
      </w:r>
      <w:r/>
    </w:p>
    <w:p>
      <w:pPr>
        <w:jc w:val="center"/>
        <w:spacing w:line="360" w:lineRule="auto"/>
        <w:widowControl/>
        <w:rPr>
          <w:rFonts w:hint="eastAsia" w:ascii="黑体" w:hAnsi="黑体" w:eastAsia="黑体" w:cs="黑体"/>
          <w:color w:val="auto"/>
          <w:szCs w:val="21"/>
          <w:highlight w:val="none"/>
        </w:rPr>
      </w:pPr>
      <w:r>
        <w:rPr>
          <w:rFonts w:hint="eastAsia" w:ascii="黑体" w:hAnsi="黑体" w:eastAsia="黑体" w:cs="黑体"/>
          <w:b/>
          <w:color w:val="auto"/>
          <w:szCs w:val="21"/>
          <w:highlight w:val="none"/>
          <w:u w:val="single"/>
        </w:rPr>
        <w:t xml:space="preserve">此部分在正式签订合同时应不加修改的、完整的装订在合同中</w:t>
      </w:r>
      <w:bookmarkEnd w:id="109"/>
      <w:r/>
      <w:r/>
    </w:p>
    <w:p>
      <w:pPr>
        <w:jc w:val="center"/>
        <w:keepLines/>
        <w:keepNext/>
        <w:spacing w:before="0" w:after="0" w:line="360" w:lineRule="auto"/>
        <w:rPr>
          <w:rFonts w:hint="eastAsia" w:ascii="黑体" w:hAnsi="黑体" w:eastAsia="黑体" w:cs="黑体"/>
          <w:color w:val="auto"/>
          <w:sz w:val="24"/>
          <w:szCs w:val="18"/>
          <w:highlight w:val="none"/>
          <w:lang w:val="en-US" w:eastAsia="zh-CN" w:bidi="ar-SA"/>
        </w:rPr>
        <w:outlineLvl w:val="2"/>
      </w:pPr>
      <w:r/>
      <w:bookmarkStart w:id="110" w:name="_Toc24249"/>
      <w:r/>
      <w:bookmarkStart w:id="111" w:name="_Toc3191"/>
      <w:r/>
      <w:bookmarkStart w:id="112" w:name="_Toc351203632"/>
      <w:r>
        <w:rPr>
          <w:rFonts w:hint="eastAsia" w:ascii="黑体" w:hAnsi="黑体" w:eastAsia="黑体" w:cs="黑体"/>
          <w:color w:val="auto"/>
          <w:sz w:val="24"/>
          <w:szCs w:val="18"/>
          <w:highlight w:val="none"/>
          <w:lang w:val="en-US" w:eastAsia="zh-CN" w:bidi="ar-SA"/>
        </w:rPr>
        <w:t xml:space="preserve">第三部分 专用合同条款</w:t>
      </w:r>
      <w:bookmarkEnd w:id="110"/>
      <w:r/>
      <w:bookmarkEnd w:id="111"/>
      <w:r/>
      <w:bookmarkEnd w:id="112"/>
      <w:r/>
      <w:r/>
    </w:p>
    <w:p>
      <w:pPr>
        <w:jc w:val="both"/>
        <w:keepLines/>
        <w:keepNext/>
        <w:spacing w:before="0" w:after="0" w:line="360" w:lineRule="auto"/>
        <w:rPr>
          <w:rFonts w:hint="eastAsia" w:ascii="黑体" w:hAnsi="黑体" w:eastAsia="黑体" w:cs="黑体"/>
          <w:b w:val="0"/>
          <w:bCs/>
          <w:color w:val="auto"/>
          <w:sz w:val="21"/>
          <w:szCs w:val="21"/>
          <w:highlight w:val="none"/>
          <w:lang w:val="en-US" w:eastAsia="zh-CN" w:bidi="ar-SA"/>
        </w:rPr>
        <w:outlineLvl w:val="9"/>
      </w:pPr>
      <w:r>
        <w:rPr>
          <w:rFonts w:hint="eastAsia" w:ascii="黑体" w:hAnsi="黑体" w:eastAsia="黑体" w:cs="黑体"/>
          <w:b w:val="0"/>
          <w:bCs/>
          <w:color w:val="auto"/>
          <w:sz w:val="21"/>
          <w:szCs w:val="21"/>
          <w:highlight w:val="none"/>
          <w:lang w:val="en-US" w:eastAsia="zh-CN" w:bidi="ar-SA"/>
        </w:rPr>
        <w:t xml:space="preserve">1. 一般约定</w:t>
      </w:r>
      <w:r/>
    </w:p>
    <w:p>
      <w:pPr>
        <w:ind w:firstLine="420"/>
        <w:spacing w:line="360" w:lineRule="auto"/>
        <w:widowControl/>
        <w:rPr>
          <w:rFonts w:hint="eastAsia" w:ascii="黑体" w:hAnsi="黑体" w:eastAsia="黑体" w:cs="黑体"/>
          <w:color w:val="auto"/>
          <w:szCs w:val="21"/>
          <w:highlight w:val="none"/>
        </w:rPr>
        <w:outlineLvl w:val="9"/>
      </w:pPr>
      <w:r>
        <w:rPr>
          <w:rFonts w:hint="eastAsia" w:ascii="黑体" w:hAnsi="黑体" w:eastAsia="黑体" w:cs="黑体"/>
          <w:color w:val="auto"/>
          <w:szCs w:val="21"/>
          <w:highlight w:val="none"/>
        </w:rPr>
        <w:t xml:space="preserve">1.1 词语定义</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1.1.1合同</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1.1.1.10其他合同文件包括：</w:t>
      </w:r>
      <w:r>
        <w:rPr>
          <w:rFonts w:hint="eastAsia" w:ascii="黑体" w:hAnsi="黑体" w:eastAsia="黑体" w:cs="黑体"/>
          <w:color w:val="auto"/>
          <w:szCs w:val="21"/>
          <w:highlight w:val="none"/>
          <w:u w:val="single"/>
        </w:rPr>
        <w:t xml:space="preserve">履行合同过程中双方书面确认的会议纪要、签证、设计变更等资料 </w:t>
      </w:r>
      <w:r>
        <w:rPr>
          <w:rFonts w:hint="eastAsia" w:ascii="黑体" w:hAnsi="黑体" w:eastAsia="黑体" w:cs="黑体"/>
          <w:color w:val="auto"/>
          <w:szCs w:val="21"/>
          <w:highlight w:val="none"/>
        </w:rPr>
        <w:t xml:space="preserve">。</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1.3法律 </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适用于合同的其他规范性文件：</w:t>
      </w:r>
      <w:r>
        <w:rPr>
          <w:rFonts w:hint="eastAsia" w:ascii="黑体" w:hAnsi="黑体" w:eastAsia="黑体" w:cs="黑体"/>
          <w:color w:val="auto"/>
          <w:szCs w:val="21"/>
          <w:highlight w:val="none"/>
          <w:u w:val="single"/>
        </w:rPr>
        <w:t xml:space="preserve">《中华人民共和国民法典》、《中华人民共和国建筑法》、《中华人民共和国招标投标法》、《中华人民共和国安全生产法》、《城市道路管理条例》、《建设工程质量管理条例》、《城镇道路养护技术规范》、《城市桥梁检测和养护维修管理办法》、《徐州市市政公用设施管理条例》及其他现行有关法律、法规。</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1.4 标准和规范</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1.4.1适用于工程的标准规范包括：</w:t>
      </w:r>
      <w:r>
        <w:rPr>
          <w:rFonts w:hint="eastAsia" w:ascii="黑体" w:hAnsi="黑体" w:eastAsia="黑体" w:cs="黑体"/>
          <w:color w:val="auto"/>
          <w:szCs w:val="21"/>
          <w:highlight w:val="none"/>
          <w:u w:val="single"/>
        </w:rPr>
        <w:t xml:space="preserve">现行国家及江苏省、徐州市的有关标准及其他适用于本工程的技术标准、规范等。</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1.4.3发包人对工程的技术标准和功能要求的特殊要求：</w:t>
      </w:r>
      <w:r>
        <w:rPr>
          <w:rFonts w:hint="eastAsia" w:ascii="黑体" w:hAnsi="黑体" w:eastAsia="黑体" w:cs="黑体"/>
          <w:color w:val="auto"/>
          <w:szCs w:val="21"/>
          <w:highlight w:val="none"/>
          <w:u w:val="single"/>
        </w:rPr>
        <w:t xml:space="preserve">符合有关行业主管部门和业主的要求  </w:t>
      </w:r>
      <w:r>
        <w:rPr>
          <w:rFonts w:hint="eastAsia" w:ascii="黑体" w:hAnsi="黑体" w:eastAsia="黑体" w:cs="黑体"/>
          <w:color w:val="auto"/>
          <w:szCs w:val="21"/>
          <w:highlight w:val="none"/>
        </w:rPr>
        <w:t xml:space="preserve">。</w:t>
      </w:r>
      <w:r/>
    </w:p>
    <w:p>
      <w:pPr>
        <w:ind w:firstLine="420"/>
        <w:spacing w:line="360" w:lineRule="auto"/>
        <w:widowControl/>
        <w:rPr>
          <w:rFonts w:hint="eastAsia" w:ascii="黑体" w:hAnsi="黑体" w:eastAsia="黑体" w:cs="黑体"/>
          <w:color w:val="auto"/>
          <w:szCs w:val="21"/>
          <w:highlight w:val="none"/>
        </w:rPr>
        <w:outlineLvl w:val="9"/>
      </w:pPr>
      <w:r>
        <w:rPr>
          <w:rFonts w:hint="eastAsia" w:ascii="黑体" w:hAnsi="黑体" w:eastAsia="黑体" w:cs="黑体"/>
          <w:color w:val="auto"/>
          <w:szCs w:val="21"/>
          <w:highlight w:val="none"/>
        </w:rPr>
        <w:t xml:space="preserve">1.5 合同文件的优先顺序</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合同文件组成及优先顺序为：</w:t>
      </w:r>
      <w:r>
        <w:rPr>
          <w:rFonts w:hint="eastAsia" w:ascii="黑体" w:hAnsi="黑体" w:eastAsia="黑体" w:cs="黑体"/>
          <w:color w:val="auto"/>
          <w:szCs w:val="21"/>
          <w:highlight w:val="none"/>
          <w:u w:val="single"/>
        </w:rPr>
        <w:t xml:space="preserve">本合同协议书；中标通知书；投标书及其附件；本合同专用条款；本合同通用条款；标准、规范及有关技术文件；图纸；工程量清单；工程报价单或预算书；其他合同文件。</w:t>
      </w:r>
      <w:r/>
    </w:p>
    <w:p>
      <w:pPr>
        <w:ind w:firstLine="420"/>
        <w:spacing w:line="360" w:lineRule="auto"/>
        <w:widowControl/>
        <w:rPr>
          <w:rFonts w:hint="eastAsia" w:ascii="黑体" w:hAnsi="黑体" w:eastAsia="黑体" w:cs="黑体"/>
          <w:color w:val="auto"/>
          <w:szCs w:val="21"/>
          <w:highlight w:val="none"/>
        </w:rPr>
        <w:outlineLvl w:val="9"/>
      </w:pPr>
      <w:r>
        <w:rPr>
          <w:rFonts w:hint="eastAsia" w:ascii="黑体" w:hAnsi="黑体" w:eastAsia="黑体" w:cs="黑体"/>
          <w:color w:val="auto"/>
          <w:szCs w:val="21"/>
          <w:highlight w:val="none"/>
        </w:rPr>
        <w:t xml:space="preserve">1.6 图纸和承包人文件</w:t>
      </w:r>
      <w:r>
        <w:rPr>
          <w:rFonts w:hint="eastAsia" w:ascii="黑体" w:hAnsi="黑体" w:eastAsia="黑体" w:cs="黑体"/>
          <w:color w:val="auto"/>
          <w:szCs w:val="21"/>
          <w:highlight w:val="none"/>
        </w:rPr>
        <w:tab/>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1.6.1 图纸的提供</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发包人向承包人提供图纸的期限：</w:t>
      </w:r>
      <w:r>
        <w:rPr>
          <w:rFonts w:hint="eastAsia" w:ascii="黑体" w:hAnsi="黑体" w:eastAsia="黑体" w:cs="黑体"/>
          <w:color w:val="auto"/>
          <w:szCs w:val="21"/>
          <w:highlight w:val="none"/>
          <w:u w:val="single"/>
        </w:rPr>
        <w:t xml:space="preserve">开工前3天</w:t>
      </w:r>
      <w:r>
        <w:rPr>
          <w:rFonts w:hint="eastAsia" w:ascii="黑体" w:hAnsi="黑体" w:eastAsia="黑体" w:cs="黑体"/>
          <w:color w:val="auto"/>
          <w:szCs w:val="21"/>
          <w:highlight w:val="none"/>
        </w:rPr>
        <w:t xml:space="preserve">；</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rPr>
        <w:t xml:space="preserve">发包人向承包人提供图纸的数量：</w:t>
      </w:r>
      <w:r>
        <w:rPr>
          <w:rFonts w:hint="eastAsia" w:ascii="黑体" w:hAnsi="黑体" w:eastAsia="黑体" w:cs="黑体"/>
          <w:color w:val="auto"/>
          <w:szCs w:val="21"/>
          <w:highlight w:val="none"/>
          <w:u w:val="single"/>
        </w:rPr>
        <w:t xml:space="preserve">2套；</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rPr>
        <w:t xml:space="preserve">发包人向承包人提供图纸的内容：</w:t>
      </w:r>
      <w:r>
        <w:rPr>
          <w:rFonts w:hint="eastAsia" w:ascii="黑体" w:hAnsi="黑体" w:eastAsia="黑体" w:cs="黑体"/>
          <w:color w:val="auto"/>
          <w:szCs w:val="21"/>
          <w:highlight w:val="none"/>
          <w:u w:val="single"/>
        </w:rPr>
        <w:t xml:space="preserve">全套施工图纸。</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1.6.4 承包人文件</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rPr>
        <w:t xml:space="preserve">需要由承包人提供的文件，包括：</w:t>
      </w:r>
      <w:r>
        <w:rPr>
          <w:rFonts w:hint="eastAsia" w:ascii="黑体" w:hAnsi="黑体" w:eastAsia="黑体" w:cs="黑体"/>
          <w:color w:val="auto"/>
          <w:szCs w:val="21"/>
          <w:highlight w:val="none"/>
          <w:u w:val="single"/>
        </w:rPr>
        <w:t xml:space="preserve">①按GB/T50502、本合同第二部分 通用合同条款7.1和7.2编制施工组织设计、施工措施计划、施工方案、交通导改方案、扬尘污染、噪声污染防治、建筑垃圾、生活垃圾管理等措施报监理人审核和发包人确认；</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②由承包人办理的许可和批准的办理结果书面报送监理人审核和发包人确认、留存； </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③拟制施工人员名册（动态），并与为其办理工伤保险的有效证明一起报送监理人审核和发包人确认；</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⑤特殊工种作业人员资格证明报送监理人审核和发包人确认；</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承包人提供的文件的期限为：</w:t>
      </w:r>
      <w:r>
        <w:rPr>
          <w:rFonts w:hint="eastAsia" w:ascii="黑体" w:hAnsi="黑体" w:eastAsia="黑体" w:cs="黑体"/>
          <w:color w:val="auto"/>
          <w:szCs w:val="21"/>
          <w:highlight w:val="none"/>
          <w:u w:val="single"/>
        </w:rPr>
        <w:t xml:space="preserve">合同签字后7日内  </w:t>
      </w:r>
      <w:r>
        <w:rPr>
          <w:rFonts w:hint="eastAsia" w:ascii="黑体" w:hAnsi="黑体" w:eastAsia="黑体" w:cs="黑体"/>
          <w:color w:val="auto"/>
          <w:szCs w:val="21"/>
          <w:highlight w:val="none"/>
        </w:rPr>
        <w:t xml:space="preserve">；</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承包人提供的文件的数量为：</w:t>
      </w:r>
      <w:r>
        <w:rPr>
          <w:rFonts w:hint="eastAsia" w:ascii="黑体" w:hAnsi="黑体" w:eastAsia="黑体" w:cs="黑体"/>
          <w:color w:val="auto"/>
          <w:szCs w:val="21"/>
          <w:highlight w:val="none"/>
          <w:u w:val="single"/>
        </w:rPr>
        <w:t xml:space="preserve">纸质版2套，电子版一套；</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承包人提供的文件的形式为：</w:t>
      </w:r>
      <w:r>
        <w:rPr>
          <w:rFonts w:hint="eastAsia" w:ascii="黑体" w:hAnsi="黑体" w:eastAsia="黑体" w:cs="黑体"/>
          <w:color w:val="auto"/>
          <w:szCs w:val="21"/>
          <w:highlight w:val="none"/>
          <w:u w:val="single"/>
        </w:rPr>
        <w:t xml:space="preserve">纸质版，电子版； </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发包人审批承包人文件的期限：</w:t>
      </w:r>
      <w:r>
        <w:rPr>
          <w:rFonts w:hint="eastAsia" w:ascii="黑体" w:hAnsi="黑体" w:eastAsia="黑体" w:cs="黑体"/>
          <w:color w:val="auto"/>
          <w:szCs w:val="21"/>
          <w:highlight w:val="none"/>
          <w:u w:val="single"/>
        </w:rPr>
        <w:t xml:space="preserve">7个工作日内。 </w:t>
      </w:r>
      <w:r/>
    </w:p>
    <w:p>
      <w:pPr>
        <w:ind w:firstLine="420"/>
        <w:spacing w:line="360" w:lineRule="auto"/>
        <w:widowControl/>
        <w:rPr>
          <w:rFonts w:hint="eastAsia" w:ascii="黑体" w:hAnsi="黑体" w:eastAsia="黑体" w:cs="黑体"/>
          <w:color w:val="auto"/>
          <w:szCs w:val="21"/>
          <w:highlight w:val="none"/>
        </w:rPr>
        <w:outlineLvl w:val="9"/>
      </w:pPr>
      <w:r>
        <w:rPr>
          <w:rFonts w:hint="eastAsia" w:ascii="黑体" w:hAnsi="黑体" w:eastAsia="黑体" w:cs="黑体"/>
          <w:color w:val="auto"/>
          <w:szCs w:val="21"/>
          <w:highlight w:val="none"/>
        </w:rPr>
        <w:t xml:space="preserve">1.10 交通运输</w:t>
      </w:r>
      <w:r/>
    </w:p>
    <w:p>
      <w:pPr>
        <w:ind w:firstLine="420"/>
        <w:spacing w:line="360" w:lineRule="auto"/>
        <w:widowControl/>
        <w:rPr>
          <w:rFonts w:hint="eastAsia" w:ascii="黑体" w:hAnsi="黑体" w:eastAsia="黑体" w:cs="黑体"/>
          <w:color w:val="auto"/>
          <w:szCs w:val="21"/>
          <w:highlight w:val="none"/>
        </w:rPr>
        <w:outlineLvl w:val="9"/>
      </w:pPr>
      <w:r>
        <w:rPr>
          <w:rFonts w:hint="eastAsia" w:ascii="黑体" w:hAnsi="黑体" w:eastAsia="黑体" w:cs="黑体"/>
          <w:color w:val="auto"/>
          <w:szCs w:val="21"/>
          <w:highlight w:val="none"/>
        </w:rPr>
        <w:t xml:space="preserve">1.10.1 出入现场的权利</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关于出入现场的权利的约定：</w:t>
      </w:r>
      <w:r>
        <w:rPr>
          <w:rFonts w:hint="eastAsia" w:ascii="黑体" w:hAnsi="黑体" w:eastAsia="黑体" w:cs="黑体"/>
          <w:color w:val="auto"/>
          <w:szCs w:val="21"/>
          <w:highlight w:val="none"/>
          <w:u w:val="single"/>
        </w:rPr>
        <w:t xml:space="preserve">由承包人按发包人要求负责取得出入施工现场所需的批准手续和全部权利，以及取得因施工所需修建道路、桥梁以及其他基础设施的权利，并承担相关手续费用和建设费用，此费用包含在投标报价内。</w:t>
      </w:r>
      <w:r/>
    </w:p>
    <w:p>
      <w:pPr>
        <w:ind w:firstLine="420"/>
        <w:spacing w:line="360" w:lineRule="auto"/>
        <w:widowControl/>
        <w:rPr>
          <w:rFonts w:hint="eastAsia" w:ascii="黑体" w:hAnsi="黑体" w:eastAsia="黑体" w:cs="黑体"/>
          <w:color w:val="auto"/>
          <w:szCs w:val="21"/>
          <w:highlight w:val="none"/>
        </w:rPr>
        <w:outlineLvl w:val="9"/>
      </w:pPr>
      <w:r>
        <w:rPr>
          <w:rFonts w:hint="eastAsia" w:ascii="黑体" w:hAnsi="黑体" w:eastAsia="黑体" w:cs="黑体"/>
          <w:color w:val="auto"/>
          <w:szCs w:val="21"/>
          <w:highlight w:val="none"/>
        </w:rPr>
        <w:t xml:space="preserve">1.10.3 场内交通</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关于场外交通和场内交通的边界的约定：</w:t>
      </w:r>
      <w:r>
        <w:rPr>
          <w:rFonts w:hint="eastAsia" w:ascii="黑体" w:hAnsi="黑体" w:eastAsia="黑体" w:cs="黑体"/>
          <w:color w:val="auto"/>
          <w:szCs w:val="21"/>
          <w:highlight w:val="none"/>
          <w:u w:val="single"/>
        </w:rPr>
        <w:t xml:space="preserve">以现场实际施工条件为准</w:t>
      </w: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u w:val="single"/>
        </w:rPr>
        <w:t xml:space="preserve">为保证道路交通安全及运输畅通，当施工期间，承包人必须事先与交通和公安部门协调，采取足够的交通疏导措施；承包人制定运输计划时，应避开现有道路上在高峰时段。所需费用包含在投标报价内。</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rPr>
        <w:t xml:space="preserve">关于发包人向承包人免费提供满足工程施工需要的场内道路和交通设施的约定：</w:t>
      </w:r>
      <w:r>
        <w:rPr>
          <w:rFonts w:hint="eastAsia" w:ascii="黑体" w:hAnsi="黑体" w:eastAsia="黑体" w:cs="黑体"/>
          <w:color w:val="auto"/>
          <w:szCs w:val="21"/>
          <w:highlight w:val="none"/>
          <w:u w:val="single"/>
        </w:rPr>
        <w:t xml:space="preserve">以现场实际施工条件为准</w:t>
      </w: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u w:val="single"/>
        </w:rPr>
        <w:t xml:space="preserve">承包人应负责修建、维修、养护和管理施工所需的临时道路和交通设施，并承担相应费用。承包人修建的临时道路和交通设施应免费提供给发包人、监理人和其他承包人使用。</w:t>
      </w:r>
      <w:r>
        <w:rPr>
          <w:rFonts w:hint="eastAsia" w:ascii="黑体" w:hAnsi="黑体" w:eastAsia="黑体" w:cs="黑体"/>
          <w:color w:val="auto"/>
          <w:szCs w:val="21"/>
          <w:highlight w:val="none"/>
        </w:rPr>
        <w:t xml:space="preserve">  </w:t>
      </w:r>
      <w:r/>
    </w:p>
    <w:p>
      <w:pPr>
        <w:jc w:val="both"/>
        <w:keepLines/>
        <w:keepNext/>
        <w:spacing w:before="0" w:after="0" w:line="360" w:lineRule="auto"/>
        <w:rPr>
          <w:rFonts w:hint="eastAsia" w:ascii="黑体" w:hAnsi="黑体" w:eastAsia="黑体" w:cs="黑体"/>
          <w:b w:val="0"/>
          <w:bCs/>
          <w:color w:val="auto"/>
          <w:sz w:val="21"/>
          <w:szCs w:val="21"/>
          <w:highlight w:val="none"/>
          <w:lang w:val="en-US" w:eastAsia="zh-CN" w:bidi="ar-SA"/>
        </w:rPr>
        <w:outlineLvl w:val="9"/>
      </w:pPr>
      <w:r>
        <w:rPr>
          <w:rFonts w:hint="eastAsia" w:ascii="黑体" w:hAnsi="黑体" w:eastAsia="黑体" w:cs="黑体"/>
          <w:b w:val="0"/>
          <w:bCs/>
          <w:color w:val="auto"/>
          <w:sz w:val="21"/>
          <w:szCs w:val="21"/>
          <w:highlight w:val="none"/>
          <w:lang w:val="en-US" w:eastAsia="zh-CN" w:bidi="ar-SA"/>
        </w:rPr>
        <w:t xml:space="preserve">2. 发包人</w:t>
      </w:r>
      <w:r/>
    </w:p>
    <w:p>
      <w:pPr>
        <w:ind w:firstLine="420"/>
        <w:spacing w:line="360" w:lineRule="auto"/>
        <w:widowControl/>
        <w:rPr>
          <w:rFonts w:hint="eastAsia" w:ascii="黑体" w:hAnsi="黑体" w:eastAsia="黑体" w:cs="黑体"/>
          <w:color w:val="auto"/>
          <w:szCs w:val="21"/>
          <w:highlight w:val="none"/>
        </w:rPr>
        <w:outlineLvl w:val="9"/>
      </w:pPr>
      <w:r>
        <w:rPr>
          <w:rFonts w:hint="eastAsia" w:ascii="黑体" w:hAnsi="黑体" w:eastAsia="黑体" w:cs="黑体"/>
          <w:color w:val="auto"/>
          <w:szCs w:val="21"/>
          <w:highlight w:val="none"/>
        </w:rPr>
        <w:t xml:space="preserve">2.2 发包人代表</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发包人代表：</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姓    名：</w:t>
      </w:r>
      <w:r>
        <w:rPr>
          <w:rFonts w:hint="eastAsia" w:ascii="黑体" w:hAnsi="黑体" w:eastAsia="黑体" w:cs="黑体"/>
          <w:color w:val="auto"/>
          <w:szCs w:val="21"/>
          <w:highlight w:val="none"/>
          <w:u w:val="single"/>
        </w:rPr>
        <w:t xml:space="preserve">                            </w:t>
      </w:r>
      <w:r>
        <w:rPr>
          <w:rFonts w:hint="eastAsia" w:ascii="黑体" w:hAnsi="黑体" w:eastAsia="黑体" w:cs="黑体"/>
          <w:color w:val="auto"/>
          <w:szCs w:val="21"/>
          <w:highlight w:val="none"/>
        </w:rPr>
        <w:t xml:space="preserve">；</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身份证号：</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职    务：</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联系电话：</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电子信箱：</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通信地址：</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rPr>
        <w:t xml:space="preserve">发包人对发包人代表的授权范围如下：</w:t>
      </w:r>
      <w:r>
        <w:rPr>
          <w:rFonts w:hint="eastAsia" w:ascii="黑体" w:hAnsi="黑体" w:eastAsia="黑体" w:cs="黑体"/>
          <w:color w:val="auto"/>
          <w:szCs w:val="21"/>
          <w:highlight w:val="none"/>
          <w:u w:val="single"/>
        </w:rPr>
        <w:t xml:space="preserve">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2.4.2 提供施工条件</w:t>
      </w:r>
      <w:r/>
    </w:p>
    <w:p>
      <w:pPr>
        <w:ind w:left="0" w:right="0" w:firstLine="403"/>
        <w:spacing w:before="0" w:after="0" w:line="360" w:lineRule="auto"/>
        <w:widowControl w:val="off"/>
        <w:rPr>
          <w:rFonts w:hint="eastAsia" w:ascii="黑体" w:hAnsi="黑体" w:eastAsia="黑体" w:cs="黑体"/>
          <w:color w:val="auto"/>
          <w:sz w:val="21"/>
          <w:szCs w:val="21"/>
          <w:highlight w:val="none"/>
          <w:u w:val="single"/>
          <w:lang w:val="en-US" w:eastAsia="zh-CN" w:bidi="ar-SA"/>
        </w:rPr>
      </w:pPr>
      <w:r>
        <w:rPr>
          <w:rFonts w:hint="eastAsia" w:ascii="黑体" w:hAnsi="黑体" w:eastAsia="黑体" w:cs="黑体"/>
          <w:color w:val="auto"/>
          <w:sz w:val="21"/>
          <w:szCs w:val="21"/>
          <w:highlight w:val="none"/>
          <w:lang w:val="en-US" w:eastAsia="zh-CN" w:bidi="ar-SA"/>
        </w:rPr>
        <w:t xml:space="preserve">关于发包人应负责提供施工所需要的条件，包括：</w:t>
      </w:r>
      <w:r>
        <w:rPr>
          <w:rFonts w:hint="eastAsia" w:ascii="黑体" w:hAnsi="黑体" w:eastAsia="黑体" w:cs="黑体"/>
          <w:color w:val="auto"/>
          <w:sz w:val="21"/>
          <w:szCs w:val="21"/>
          <w:highlight w:val="none"/>
          <w:u w:val="single"/>
          <w:lang w:val="en-US" w:eastAsia="zh-CN" w:bidi="ar-SA"/>
        </w:rPr>
        <w:t xml:space="preserve">发包人不提供电源、水源，施工用水用电由承包人自费解决。场外施工道路为市政现状，场内施工道路由承包人根据批准的施工组织设计在开工前自行完成，并满足施工要求及有关规定，此费用包含在投标报价内。</w:t>
      </w:r>
      <w:r/>
    </w:p>
    <w:p>
      <w:pPr>
        <w:ind w:left="0" w:right="0" w:firstLine="403"/>
        <w:spacing w:before="0" w:after="0" w:line="360" w:lineRule="auto"/>
        <w:widowControl w:val="off"/>
        <w:rPr>
          <w:rFonts w:hint="eastAsia" w:ascii="黑体" w:hAnsi="黑体" w:eastAsia="黑体" w:cs="黑体"/>
          <w:color w:val="auto"/>
          <w:sz w:val="21"/>
          <w:szCs w:val="21"/>
          <w:highlight w:val="none"/>
          <w:u w:val="single"/>
          <w:lang w:val="en-US" w:eastAsia="zh-CN" w:bidi="ar-SA"/>
        </w:rPr>
      </w:pPr>
      <w:r>
        <w:rPr>
          <w:rFonts w:hint="eastAsia" w:ascii="黑体" w:hAnsi="黑体" w:eastAsia="黑体" w:cs="黑体"/>
          <w:color w:val="auto"/>
          <w:sz w:val="21"/>
          <w:szCs w:val="21"/>
          <w:highlight w:val="none"/>
          <w:u w:val="single"/>
          <w:lang w:val="en-US" w:eastAsia="zh-CN" w:bidi="ar-SA"/>
        </w:rPr>
        <w:t xml:space="preserve">图纸会审和设计交底时间： 开工前一周内完成。               </w:t>
      </w:r>
      <w:r/>
    </w:p>
    <w:p>
      <w:pPr>
        <w:ind w:left="0" w:right="0" w:firstLine="403"/>
        <w:spacing w:before="0" w:after="0" w:line="360" w:lineRule="auto"/>
        <w:widowControl w:val="off"/>
        <w:rPr>
          <w:rFonts w:hint="eastAsia" w:ascii="黑体" w:hAnsi="黑体" w:eastAsia="黑体" w:cs="黑体"/>
          <w:color w:val="auto"/>
          <w:sz w:val="21"/>
          <w:szCs w:val="21"/>
          <w:highlight w:val="none"/>
          <w:u w:val="single"/>
          <w:lang w:val="en-US" w:eastAsia="zh-CN" w:bidi="ar-SA"/>
        </w:rPr>
      </w:pPr>
      <w:r>
        <w:rPr>
          <w:rFonts w:hint="eastAsia" w:ascii="黑体" w:hAnsi="黑体" w:eastAsia="黑体" w:cs="黑体"/>
          <w:color w:val="auto"/>
          <w:sz w:val="21"/>
          <w:szCs w:val="21"/>
          <w:highlight w:val="none"/>
          <w:u w:val="single"/>
          <w:lang w:val="en-US" w:eastAsia="zh-CN" w:bidi="ar-SA"/>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03"/>
        <w:spacing w:before="0" w:after="0" w:line="360" w:lineRule="auto"/>
        <w:widowControl w:val="off"/>
        <w:rPr>
          <w:rFonts w:hint="eastAsia" w:ascii="黑体" w:hAnsi="黑体" w:eastAsia="黑体" w:cs="黑体"/>
          <w:color w:val="auto"/>
          <w:sz w:val="21"/>
          <w:szCs w:val="21"/>
          <w:highlight w:val="none"/>
          <w:u w:val="single"/>
          <w:lang w:val="en-US" w:eastAsia="zh-CN" w:bidi="ar-SA"/>
        </w:rPr>
      </w:pPr>
      <w:r>
        <w:rPr>
          <w:rFonts w:hint="eastAsia" w:ascii="黑体" w:hAnsi="黑体" w:eastAsia="黑体" w:cs="黑体"/>
          <w:color w:val="auto"/>
          <w:sz w:val="21"/>
          <w:szCs w:val="21"/>
          <w:highlight w:val="none"/>
          <w:u w:val="single"/>
          <w:lang w:val="en-US" w:eastAsia="zh-CN" w:bidi="ar-SA"/>
        </w:rPr>
        <w:t xml:space="preserve">施工期间的周边关系及第三方干扰等由承包人负责协调，所需费用含在投标报价内。</w:t>
      </w:r>
      <w:r/>
    </w:p>
    <w:p>
      <w:pPr>
        <w:ind w:left="0" w:right="0" w:firstLine="403"/>
        <w:spacing w:before="0" w:after="0" w:line="360" w:lineRule="auto"/>
        <w:widowControl w:val="off"/>
        <w:rPr>
          <w:rFonts w:hint="eastAsia" w:ascii="黑体" w:hAnsi="黑体" w:eastAsia="黑体" w:cs="黑体"/>
          <w:color w:val="auto"/>
          <w:sz w:val="21"/>
          <w:szCs w:val="21"/>
          <w:highlight w:val="none"/>
          <w:u w:val="single"/>
          <w:lang w:val="en-US" w:eastAsia="zh-CN" w:bidi="ar-SA"/>
        </w:rPr>
      </w:pPr>
      <w:r>
        <w:rPr>
          <w:rFonts w:hint="eastAsia" w:ascii="黑体" w:hAnsi="黑体" w:eastAsia="黑体" w:cs="黑体"/>
          <w:color w:val="auto"/>
          <w:sz w:val="21"/>
          <w:szCs w:val="21"/>
          <w:highlight w:val="none"/>
          <w:lang w:val="en-US" w:eastAsia="zh-CN" w:bidi="ar-SA"/>
        </w:rPr>
        <w:t xml:space="preserve">承包人在施工过程中因区域边界问题出现纠纷，由发包人负责协调或直接指定。</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2.4.3发包人工作</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u w:val="single"/>
        </w:rPr>
        <w:t xml:space="preserve">提供基础资料。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firstLine="420"/>
        <w:jc w:val="both"/>
        <w:keepLines/>
        <w:keepNext/>
        <w:spacing w:before="0" w:after="0" w:line="360" w:lineRule="auto"/>
        <w:rPr>
          <w:rFonts w:hint="eastAsia" w:ascii="黑体" w:hAnsi="黑体" w:eastAsia="黑体" w:cs="黑体"/>
          <w:b w:val="0"/>
          <w:bCs/>
          <w:color w:val="auto"/>
          <w:sz w:val="21"/>
          <w:szCs w:val="21"/>
          <w:highlight w:val="none"/>
          <w:lang w:val="en-US" w:eastAsia="zh-CN" w:bidi="ar-SA"/>
        </w:rPr>
        <w:outlineLvl w:val="9"/>
      </w:pPr>
      <w:r>
        <w:rPr>
          <w:rFonts w:hint="eastAsia" w:ascii="黑体" w:hAnsi="黑体" w:eastAsia="黑体" w:cs="黑体"/>
          <w:b w:val="0"/>
          <w:bCs/>
          <w:color w:val="auto"/>
          <w:sz w:val="21"/>
          <w:szCs w:val="21"/>
          <w:highlight w:val="none"/>
          <w:lang w:val="en-US" w:eastAsia="zh-CN" w:bidi="ar-SA"/>
        </w:rPr>
        <w:t xml:space="preserve">3. 承包人</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3.1 承包人的一般义务</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（7）承包人的施工安全责任</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为确保安全、文明施工，应该本着“安全第一，预防为主”的原则，建立安全管理组织体系。承包人应制定详细的安全生产实施方案，严格执行国家、江苏省及徐州市颁发的现行行业规范、相关标准及相关文件。</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如果承包人的安全措施达不到要求，发包人有权委托其他单位完成，对此发生的所有费用从承包人的安全生产费中支付。安全生产费用应当用于施工安全防护用具及设施的购买、维护和更新，安全生产措施的落实， 安全生产条件的改善，不得挪作他用。</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承包人应杜绝死亡事故、重伤事故和重大机械事故，确保无安全生产责任事故。</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在施工过程中如承包人违反生产安全责任被处罚或发生安全生产事故，承包人应向发包人支付合同金额的20%的违约金，发包人有权解除合同。所造成的一切责任和损失由承包人负责。</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（9）承包人提交的竣工资料的内容：</w:t>
      </w:r>
      <w:r>
        <w:rPr>
          <w:rFonts w:hint="eastAsia" w:ascii="黑体" w:hAnsi="黑体" w:eastAsia="黑体" w:cs="黑体"/>
          <w:color w:val="auto"/>
          <w:szCs w:val="21"/>
          <w:highlight w:val="none"/>
          <w:u w:val="single"/>
        </w:rPr>
        <w:t xml:space="preserve">  承包人按照《建设工程文件归档整理规范》及江苏省相关法规、规范标准及本合同要求绘制竣工图及完整的工程技术档案、工程质量保修书、及有关工程使用、维护的说明。</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承包人需要提交的竣工资料套数：</w:t>
      </w:r>
      <w:r>
        <w:rPr>
          <w:rFonts w:hint="eastAsia" w:ascii="黑体" w:hAnsi="黑体" w:eastAsia="黑体" w:cs="黑体"/>
          <w:color w:val="auto"/>
          <w:szCs w:val="21"/>
          <w:highlight w:val="none"/>
          <w:u w:val="single"/>
        </w:rPr>
        <w:t xml:space="preserve">向发包人提交盖承包人公章和工程竣工资料专用章的纸质版竣工图肆套，竣工资料肆套、电子文档资料壹套 </w:t>
      </w:r>
      <w:r>
        <w:rPr>
          <w:rFonts w:hint="eastAsia" w:ascii="黑体" w:hAnsi="黑体" w:eastAsia="黑体" w:cs="黑体"/>
          <w:color w:val="auto"/>
          <w:szCs w:val="21"/>
          <w:highlight w:val="none"/>
        </w:rPr>
        <w:t xml:space="preserve">。</w:t>
      </w:r>
      <w:r/>
    </w:p>
    <w:p>
      <w:pPr>
        <w:ind w:left="638"/>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承包人提交的竣工资料的费用承担：</w:t>
      </w:r>
      <w:r>
        <w:rPr>
          <w:rFonts w:hint="eastAsia" w:ascii="黑体" w:hAnsi="黑体" w:eastAsia="黑体" w:cs="黑体"/>
          <w:color w:val="auto"/>
          <w:szCs w:val="21"/>
          <w:highlight w:val="none"/>
          <w:u w:val="single"/>
        </w:rPr>
        <w:t xml:space="preserve">由承包人承担   </w:t>
      </w:r>
      <w:r>
        <w:rPr>
          <w:rFonts w:hint="eastAsia" w:ascii="黑体" w:hAnsi="黑体" w:eastAsia="黑体" w:cs="黑体"/>
          <w:color w:val="auto"/>
          <w:szCs w:val="21"/>
          <w:highlight w:val="none"/>
        </w:rPr>
        <w:t xml:space="preserve">。</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承包人提交的竣工资料移交时间：</w:t>
      </w:r>
      <w:r>
        <w:rPr>
          <w:rFonts w:hint="eastAsia" w:ascii="黑体" w:hAnsi="黑体" w:eastAsia="黑体" w:cs="黑体"/>
          <w:color w:val="auto"/>
          <w:szCs w:val="21"/>
          <w:highlight w:val="none"/>
          <w:u w:val="single"/>
        </w:rPr>
        <w:t xml:space="preserve">竣工验收合格后30日内，若逾期提交，发包人有权暂停支付工程款</w:t>
      </w:r>
      <w:r>
        <w:rPr>
          <w:rFonts w:hint="eastAsia" w:ascii="黑体" w:hAnsi="黑体" w:eastAsia="黑体" w:cs="黑体"/>
          <w:color w:val="auto"/>
          <w:szCs w:val="21"/>
          <w:highlight w:val="none"/>
        </w:rPr>
        <w:t xml:space="preserve">。</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承包人提交的竣工资料形式要求：</w:t>
      </w:r>
      <w:r>
        <w:rPr>
          <w:rFonts w:hint="eastAsia" w:ascii="黑体" w:hAnsi="黑体" w:eastAsia="黑体" w:cs="黑体"/>
          <w:color w:val="auto"/>
          <w:szCs w:val="21"/>
          <w:highlight w:val="none"/>
          <w:u w:val="single"/>
        </w:rPr>
        <w:t xml:space="preserve">书面方式（立卷、装订成册的纸质文档）和电子文档</w:t>
      </w:r>
      <w:r>
        <w:rPr>
          <w:rFonts w:hint="eastAsia" w:ascii="黑体" w:hAnsi="黑体" w:eastAsia="黑体" w:cs="黑体"/>
          <w:color w:val="auto"/>
          <w:szCs w:val="21"/>
          <w:highlight w:val="none"/>
        </w:rPr>
        <w:t xml:space="preserve">。</w:t>
      </w:r>
      <w:r/>
    </w:p>
    <w:p>
      <w:pPr>
        <w:numPr>
          <w:ilvl w:val="0"/>
          <w:numId w:val="2"/>
        </w:num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rPr>
        <w:t xml:space="preserve">承包人应履行的其他义务：</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①施工过程中的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行政处罚，则由承包人承担行政处罚的费用，发包人据此另给与承包人相应的罚款。  </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②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③符合徐州市有关部门规定的标准化施工现场要求，同时应满足市政、市容、生态环境等相关主管部门的有关规定。道路施工工地一律实行封闭施工、防尘网覆盖、定时洒水，控制扬尘污染等安全文明施工措施。不符合要求者，承包人应承担20000元/次的违约金。承包人违反规定所造成的损失和行政处罚由承包人承担。承包人负责在竣工验收合格后七日内将施工现场彻底清洁完毕，承包人拒绝清洁的，发包人有权安排其他施工单位修复，所需费用从承包人工程款中扣除。</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④承担施工安全保卫工作及非夜间施工照明的责任和要求：由承包人按建设行政管理部门和相关部门的要求自行承担，并设置明显警示标志和专职人员维护公共安全。</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⑤向发包人提供的办公和生活房屋及设施的要求：发包人驻施工现场管理人员必要的办公用房及设施由承包人负责免费提供。</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fldChar w:fldCharType="begin"/>
      </w:r>
      <w:r>
        <w:rPr>
          <w:rFonts w:hint="eastAsia" w:ascii="黑体" w:hAnsi="黑体" w:eastAsia="黑体" w:cs="黑体"/>
          <w:color w:val="auto"/>
          <w:szCs w:val="21"/>
          <w:highlight w:val="none"/>
          <w:u w:val="single"/>
        </w:rPr>
        <w:instrText xml:space="preserve"> = 6 \* GB3 </w:instrText>
      </w:r>
      <w:r>
        <w:rPr>
          <w:rFonts w:hint="eastAsia" w:ascii="黑体" w:hAnsi="黑体" w:eastAsia="黑体" w:cs="黑体"/>
          <w:color w:val="auto"/>
          <w:szCs w:val="21"/>
          <w:highlight w:val="none"/>
          <w:u w:val="single"/>
        </w:rPr>
        <w:fldChar w:fldCharType="separate"/>
      </w:r>
      <w:r>
        <w:rPr>
          <w:rFonts w:hint="eastAsia" w:ascii="黑体" w:hAnsi="黑体" w:eastAsia="黑体" w:cs="黑体"/>
          <w:color w:val="auto"/>
          <w:szCs w:val="21"/>
          <w:highlight w:val="none"/>
          <w:u w:val="single"/>
        </w:rPr>
        <w:t xml:space="preserve">⑥</w:t>
      </w:r>
      <w:r>
        <w:rPr>
          <w:rFonts w:hint="eastAsia" w:ascii="黑体" w:hAnsi="黑体" w:eastAsia="黑体" w:cs="黑体"/>
          <w:color w:val="auto"/>
          <w:szCs w:val="21"/>
          <w:highlight w:val="none"/>
          <w:u w:val="single"/>
        </w:rPr>
        <w:fldChar w:fldCharType="end"/>
      </w:r>
      <w:r>
        <w:rPr>
          <w:rFonts w:hint="eastAsia" w:ascii="黑体" w:hAnsi="黑体" w:eastAsia="黑体" w:cs="黑体"/>
          <w:color w:val="auto"/>
          <w:szCs w:val="21"/>
          <w:highlight w:val="none"/>
          <w:u w:val="single"/>
        </w:rPr>
        <w:t xml:space="preserve">需承包人办理的有关施工场地交通、环卫和施工噪音污染防治管理等手续：由承包人负责承担，费用也由承包方承担并综合考虑在投标报价内。</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fldChar w:fldCharType="begin"/>
      </w:r>
      <w:r>
        <w:rPr>
          <w:rFonts w:hint="eastAsia" w:ascii="黑体" w:hAnsi="黑体" w:eastAsia="黑体" w:cs="黑体"/>
          <w:color w:val="auto"/>
          <w:szCs w:val="21"/>
          <w:highlight w:val="none"/>
          <w:u w:val="single"/>
        </w:rPr>
        <w:instrText xml:space="preserve"> = 7 \* GB3 </w:instrText>
      </w:r>
      <w:r>
        <w:rPr>
          <w:rFonts w:hint="eastAsia" w:ascii="黑体" w:hAnsi="黑体" w:eastAsia="黑体" w:cs="黑体"/>
          <w:color w:val="auto"/>
          <w:szCs w:val="21"/>
          <w:highlight w:val="none"/>
          <w:u w:val="single"/>
        </w:rPr>
        <w:fldChar w:fldCharType="separate"/>
      </w:r>
      <w:r>
        <w:rPr>
          <w:rFonts w:hint="eastAsia" w:ascii="黑体" w:hAnsi="黑体" w:eastAsia="黑体" w:cs="黑体"/>
          <w:color w:val="auto"/>
          <w:szCs w:val="21"/>
          <w:highlight w:val="none"/>
          <w:u w:val="single"/>
        </w:rPr>
        <w:t xml:space="preserve">⑦</w:t>
      </w:r>
      <w:r>
        <w:rPr>
          <w:rFonts w:hint="eastAsia" w:ascii="黑体" w:hAnsi="黑体" w:eastAsia="黑体" w:cs="黑体"/>
          <w:color w:val="auto"/>
          <w:szCs w:val="21"/>
          <w:highlight w:val="none"/>
          <w:u w:val="single"/>
        </w:rPr>
        <w:fldChar w:fldCharType="end"/>
      </w:r>
      <w:r>
        <w:rPr>
          <w:rFonts w:hint="eastAsia" w:ascii="黑体" w:hAnsi="黑体" w:eastAsia="黑体" w:cs="黑体"/>
          <w:color w:val="auto"/>
          <w:szCs w:val="21"/>
          <w:highlight w:val="none"/>
          <w:u w:val="single"/>
        </w:rPr>
        <w:t xml:space="preserve">承包人综合考虑本项目全线封闭施工，且考虑可能存在的半幅道路施工，因此可能增加的费用综合考虑在投标报价内，结算时不再增加于此相关的费用。</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fldChar w:fldCharType="begin"/>
      </w:r>
      <w:r>
        <w:rPr>
          <w:rFonts w:hint="eastAsia" w:ascii="黑体" w:hAnsi="黑体" w:eastAsia="黑体" w:cs="黑体"/>
          <w:color w:val="auto"/>
          <w:szCs w:val="21"/>
          <w:highlight w:val="none"/>
          <w:u w:val="single"/>
        </w:rPr>
        <w:instrText xml:space="preserve"> = 8 \* GB3 </w:instrText>
      </w:r>
      <w:r>
        <w:rPr>
          <w:rFonts w:hint="eastAsia" w:ascii="黑体" w:hAnsi="黑体" w:eastAsia="黑体" w:cs="黑体"/>
          <w:color w:val="auto"/>
          <w:szCs w:val="21"/>
          <w:highlight w:val="none"/>
          <w:u w:val="single"/>
        </w:rPr>
        <w:fldChar w:fldCharType="separate"/>
      </w:r>
      <w:r>
        <w:rPr>
          <w:rFonts w:hint="eastAsia" w:ascii="黑体" w:hAnsi="黑体" w:eastAsia="黑体" w:cs="黑体"/>
          <w:color w:val="auto"/>
          <w:szCs w:val="21"/>
          <w:highlight w:val="none"/>
          <w:u w:val="single"/>
        </w:rPr>
        <w:t xml:space="preserve">⑧</w:t>
      </w:r>
      <w:r>
        <w:rPr>
          <w:rFonts w:hint="eastAsia" w:ascii="黑体" w:hAnsi="黑体" w:eastAsia="黑体" w:cs="黑体"/>
          <w:color w:val="auto"/>
          <w:szCs w:val="21"/>
          <w:highlight w:val="none"/>
          <w:u w:val="single"/>
        </w:rPr>
        <w:fldChar w:fldCharType="end"/>
      </w:r>
      <w:r>
        <w:rPr>
          <w:rFonts w:hint="eastAsia" w:ascii="黑体" w:hAnsi="黑体" w:eastAsia="黑体" w:cs="黑体"/>
          <w:color w:val="auto"/>
          <w:szCs w:val="21"/>
          <w:highlight w:val="none"/>
          <w:u w:val="single"/>
        </w:rPr>
        <w:t xml:space="preserve">已完工程成品保护的特殊要求及费用承担：由承包人负责承担。</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fldChar w:fldCharType="begin"/>
      </w:r>
      <w:r>
        <w:rPr>
          <w:rFonts w:hint="eastAsia" w:ascii="黑体" w:hAnsi="黑体" w:eastAsia="黑体" w:cs="黑体"/>
          <w:color w:val="auto"/>
          <w:szCs w:val="21"/>
          <w:highlight w:val="none"/>
          <w:u w:val="single"/>
        </w:rPr>
        <w:instrText xml:space="preserve"> = 9 \* GB3 </w:instrText>
      </w:r>
      <w:r>
        <w:rPr>
          <w:rFonts w:hint="eastAsia" w:ascii="黑体" w:hAnsi="黑体" w:eastAsia="黑体" w:cs="黑体"/>
          <w:color w:val="auto"/>
          <w:szCs w:val="21"/>
          <w:highlight w:val="none"/>
          <w:u w:val="single"/>
        </w:rPr>
        <w:fldChar w:fldCharType="separate"/>
      </w:r>
      <w:r>
        <w:rPr>
          <w:rFonts w:hint="eastAsia" w:ascii="黑体" w:hAnsi="黑体" w:eastAsia="黑体" w:cs="黑体"/>
          <w:color w:val="auto"/>
          <w:szCs w:val="21"/>
          <w:highlight w:val="none"/>
          <w:u w:val="single"/>
        </w:rPr>
        <w:t xml:space="preserve">⑨</w:t>
      </w:r>
      <w:r>
        <w:rPr>
          <w:rFonts w:hint="eastAsia" w:ascii="黑体" w:hAnsi="黑体" w:eastAsia="黑体" w:cs="黑体"/>
          <w:color w:val="auto"/>
          <w:szCs w:val="21"/>
          <w:highlight w:val="none"/>
          <w:u w:val="single"/>
        </w:rPr>
        <w:fldChar w:fldCharType="end"/>
      </w:r>
      <w:r>
        <w:rPr>
          <w:rFonts w:hint="eastAsia" w:ascii="黑体" w:hAnsi="黑体" w:eastAsia="黑体" w:cs="黑体"/>
          <w:color w:val="auto"/>
          <w:szCs w:val="21"/>
          <w:highlight w:val="none"/>
          <w:u w:val="single"/>
        </w:rPr>
        <w:t xml:space="preserve">施工场地清洁卫生和要求：应按建设行政主管部门和相关部门的规定办理，所需费用由承包人负担。</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fldChar w:fldCharType="begin"/>
      </w:r>
      <w:r>
        <w:rPr>
          <w:rFonts w:hint="eastAsia" w:ascii="黑体" w:hAnsi="黑体" w:eastAsia="黑体" w:cs="黑体"/>
          <w:color w:val="auto"/>
          <w:szCs w:val="21"/>
          <w:highlight w:val="none"/>
          <w:u w:val="single"/>
        </w:rPr>
        <w:instrText xml:space="preserve"> = 10 \* GB3 </w:instrText>
      </w:r>
      <w:r>
        <w:rPr>
          <w:rFonts w:hint="eastAsia" w:ascii="黑体" w:hAnsi="黑体" w:eastAsia="黑体" w:cs="黑体"/>
          <w:color w:val="auto"/>
          <w:szCs w:val="21"/>
          <w:highlight w:val="none"/>
          <w:u w:val="single"/>
        </w:rPr>
        <w:fldChar w:fldCharType="separate"/>
      </w:r>
      <w:r>
        <w:rPr>
          <w:rFonts w:hint="eastAsia" w:ascii="黑体" w:hAnsi="黑体" w:eastAsia="黑体" w:cs="黑体"/>
          <w:color w:val="auto"/>
          <w:szCs w:val="21"/>
          <w:highlight w:val="none"/>
          <w:u w:val="single"/>
        </w:rPr>
        <w:t xml:space="preserve">⑩</w:t>
      </w:r>
      <w:r>
        <w:rPr>
          <w:rFonts w:hint="eastAsia" w:ascii="黑体" w:hAnsi="黑体" w:eastAsia="黑体" w:cs="黑体"/>
          <w:color w:val="auto"/>
          <w:szCs w:val="21"/>
          <w:highlight w:val="none"/>
          <w:u w:val="single"/>
        </w:rPr>
        <w:fldChar w:fldCharType="end"/>
      </w:r>
      <w:r>
        <w:rPr>
          <w:rFonts w:hint="eastAsia" w:ascii="黑体" w:hAnsi="黑体" w:eastAsia="黑体" w:cs="黑体"/>
          <w:color w:val="auto"/>
          <w:szCs w:val="21"/>
          <w:highlight w:val="none"/>
          <w:u w:val="single"/>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并由责任认定单位罚款结算价的20%。罚款于处罚书或责任认定书开出后 15 日内支付。</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承包人必须对工程现场施工人员全部实行实名制考勤管理，签订劳动合同，设立工资存储专户，按照工程进度和工人实名制登记信息，按月足额由银行代发工资。</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⑪向发包人、监理提供的办公和生活房屋及设施的要求：发包人、监理驻施工现场管理人员必要的办公用房及桌椅、空调等及设施由承包人负责免费提供。</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需承包人办理的有关施工场地交通、施工扬尘、施工噪声防治等：由承包人负责承担，费用也由承包方承担并综合考虑在投标报价内。已完工程成品保护的特殊要求及费用承担：由承包人负责承担。</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⑫施工过程中的排污、环保、建筑垃圾、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 若因上述原因引起相关部门的处罚，则由承包人承担处罚的费用，并从工程款中扣除。</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⑬发包方施工期间对承包方施工管理人员进行进行考勤，由发包方、监理核查。达不到出勤要求的发包方按5000元/次人从对承包方工程款中进行扣款。应提供计划、报表的名称及完成时间：按月提供，每月 20 日之前提供当月完成进度及下月施工计划，未按规定提供的，每次扣款10000元。</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⑭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由承包人在投标报价中自行考虑。</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⑮地方关系由承包人负责协调，费用包含在合同价款中。</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⑯</w:t>
      </w:r>
      <w:r>
        <w:rPr>
          <w:rFonts w:hint="eastAsia" w:ascii="黑体" w:hAnsi="黑体" w:eastAsia="黑体" w:cs="黑体"/>
          <w:color w:val="auto"/>
          <w:szCs w:val="21"/>
          <w:highlight w:val="none"/>
          <w:u w:val="single"/>
          <w:lang w:eastAsia="zh-CN"/>
        </w:rPr>
        <w:t xml:space="preserve">供应商</w:t>
      </w:r>
      <w:r>
        <w:rPr>
          <w:rFonts w:hint="eastAsia" w:ascii="黑体" w:hAnsi="黑体" w:eastAsia="黑体" w:cs="黑体"/>
          <w:color w:val="auto"/>
          <w:szCs w:val="21"/>
          <w:highlight w:val="none"/>
          <w:u w:val="single"/>
        </w:rPr>
        <w:t xml:space="preserve">的扬尘、噪声、建筑垃圾、生活垃圾等环保防控要求必须严格按照《中华人民共和国大气污染防治法》《中华人民共和国噪声污染防治法》《中华人民共和国固体废物污染环境防治法》等法律法规的要求，《关于印发徐州市市区工地扬尘污染管理规范的通知》（徐空气提升办﹝2018﹞11 号）和《徐州市2018年大气污染防治攻坚行动方案》、徐城管发【2018】55 号文的规定。该费用按江苏省住房和城乡建设厅《关于调整建设工程按质论价等费用计取方法的公告【2018】第 24 号》文件要求执行，已经包含在投标报价当中，结算不再增加此项费用。</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⑰施工场地清洁卫生和要求：应按建设行政主管部门和环保等相关部门的规定办理，所需费用由承包人负担。</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⑱对于在招投标、施工期间出台新的清单规范、计价定额及费用定额，本工程均不执行。</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⑲承包人勘查现场后已经在施工组织设计中体现：1、承包人与现场其他施工企业保持有序、顺利施工的措施方案；2、现场分段施工的措施方案；3、现场开辟新临时通道的方案，且承包人必须考虑完成以上 3 点所要增加的一切费用。发包人在临时设施费用中为承包人综合考虑了以上费用，承包人自主报价，结算时发包人不再支付与以上3 点关联的任何费用。</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⑳检测机构检测费用不单独列项，承包人应综合考虑在企业管理费中，包括但不限于：材料常规检验试验及相关费用、建筑工程质量检测及相关费用、工程质量检测发生的第三方检测费用等，结算时不再调整。发包人不再承担此类费用。需要明确的是，对新工艺、新材料以及对构件做破坏性试验，按检测报告结果，检测合格的，检测费用由发包人支付；检测不合格，视为承包人违约，检测费、整改至合格的费用由承包人支付，如影响工程质量或造成其它损失，承包人应向发包人支付合同金额的20%违约金，并采取补救措施，使工程质量达到合格标准。</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㉑投标前投标前应充分考察现场，本工程现场地表、沟渠、池塘等明水排除（污）费用由承包人承担，该部分费用不单独列项，</w:t>
      </w:r>
      <w:r>
        <w:rPr>
          <w:rFonts w:hint="eastAsia" w:ascii="黑体" w:hAnsi="黑体" w:eastAsia="黑体" w:cs="黑体"/>
          <w:color w:val="auto"/>
          <w:szCs w:val="21"/>
          <w:highlight w:val="none"/>
          <w:u w:val="single"/>
          <w:lang w:eastAsia="zh-CN"/>
        </w:rPr>
        <w:t xml:space="preserve">供应商</w:t>
      </w:r>
      <w:r>
        <w:rPr>
          <w:rFonts w:hint="eastAsia" w:ascii="黑体" w:hAnsi="黑体" w:eastAsia="黑体" w:cs="黑体"/>
          <w:color w:val="auto"/>
          <w:szCs w:val="21"/>
          <w:highlight w:val="none"/>
          <w:u w:val="single"/>
        </w:rPr>
        <w:t xml:space="preserve">应综合考虑在投标报价中，结算时不再调整。</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㉒因施工或施工材料进出场造成附近居民楼产生破损等质量问题均由承包人负责维修并承担所有费用，结算时发包人不再支付因此所产生的任何费用。</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u w:val="single"/>
        </w:rPr>
        <w:t xml:space="preserve">㉓承包人应充分考虑中标后至工程正式开工的间隔期对自身产生的影响并视为已体现在投标报价中，结算时不再因此予以调整。</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3.2 项目经理</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3.2.1 项目经理：</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姓    名：</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rPr>
        <w:tab/>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身份证号：</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建造师执业资格等级：</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建造师注册证书号：</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安全生产考核合格证书号：</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联系电话：</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承包人对项目经理的授权范围如下：</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1.领导、决策，调集企业所属各单位、各部门为项目进行全面服务和控制。</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2.代表承包人履行对业主的合约，并受业主委托行使对项目所有分包商统一指挥、协调、管理权；</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3.负责组织编制与审批工程总体进度</w:t>
      </w:r>
      <w:r>
        <w:rPr>
          <w:rFonts w:hint="eastAsia" w:ascii="黑体" w:hAnsi="黑体" w:eastAsia="黑体" w:cs="黑体"/>
          <w:color w:val="auto"/>
          <w:szCs w:val="21"/>
          <w:highlight w:val="none"/>
        </w:rPr>
        <w:fldChar w:fldCharType="begin"/>
      </w:r>
      <w:r>
        <w:rPr>
          <w:rFonts w:hint="eastAsia" w:ascii="黑体" w:hAnsi="黑体" w:eastAsia="黑体" w:cs="黑体"/>
          <w:color w:val="auto"/>
          <w:szCs w:val="21"/>
          <w:highlight w:val="none"/>
        </w:rPr>
        <w:instrText xml:space="preserve"> HYPERLINK "http://www.fdcew.com/gw/List_203.html" </w:instrText>
      </w:r>
      <w:r>
        <w:rPr>
          <w:rFonts w:hint="eastAsia" w:ascii="黑体" w:hAnsi="黑体" w:eastAsia="黑体" w:cs="黑体"/>
          <w:color w:val="auto"/>
          <w:szCs w:val="21"/>
          <w:highlight w:val="none"/>
        </w:rPr>
        <w:fldChar w:fldCharType="separate"/>
      </w:r>
      <w:r>
        <w:rPr>
          <w:rFonts w:hint="eastAsia" w:ascii="黑体" w:hAnsi="黑体" w:eastAsia="黑体" w:cs="黑体"/>
          <w:color w:val="auto"/>
          <w:szCs w:val="21"/>
          <w:highlight w:val="none"/>
          <w:u w:val="single"/>
        </w:rPr>
        <w:t xml:space="preserve">计划</w:t>
      </w:r>
      <w:r>
        <w:rPr>
          <w:rFonts w:hint="eastAsia" w:ascii="黑体" w:hAnsi="黑体" w:eastAsia="黑体" w:cs="黑体"/>
          <w:color w:val="auto"/>
          <w:szCs w:val="21"/>
          <w:highlight w:val="none"/>
          <w:u w:val="single"/>
        </w:rPr>
        <w:fldChar w:fldCharType="end"/>
      </w:r>
      <w:r>
        <w:rPr>
          <w:rFonts w:hint="eastAsia" w:ascii="黑体" w:hAnsi="黑体" w:eastAsia="黑体" w:cs="黑体"/>
          <w:color w:val="auto"/>
          <w:szCs w:val="21"/>
          <w:highlight w:val="none"/>
          <w:u w:val="single"/>
        </w:rPr>
        <w:t xml:space="preserve">及其修订与调整；</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4.负责组织编制与审批质量保证计划及其修订与调整；</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5.负责组织编制与审批主要物资供应与采购计划及其修订与调整；</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6.负责组织编制与审批工程分包计划及其修订与调整；</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7.组织工程成本的分析、预测及控制，对项目资金管理与</w:t>
      </w:r>
      <w:r>
        <w:rPr>
          <w:rFonts w:hint="eastAsia" w:ascii="黑体" w:hAnsi="黑体" w:eastAsia="黑体" w:cs="黑体"/>
          <w:color w:val="auto"/>
          <w:szCs w:val="21"/>
          <w:highlight w:val="none"/>
        </w:rPr>
        <w:fldChar w:fldCharType="begin"/>
      </w:r>
      <w:r>
        <w:rPr>
          <w:rFonts w:hint="eastAsia" w:ascii="黑体" w:hAnsi="黑体" w:eastAsia="黑体" w:cs="黑体"/>
          <w:color w:val="auto"/>
          <w:szCs w:val="21"/>
          <w:highlight w:val="none"/>
        </w:rPr>
        <w:instrText xml:space="preserve"> HYPERLINK "http://www.fdcew.com/hypx/List_192.html" </w:instrText>
      </w:r>
      <w:r>
        <w:rPr>
          <w:rFonts w:hint="eastAsia" w:ascii="黑体" w:hAnsi="黑体" w:eastAsia="黑体" w:cs="黑体"/>
          <w:color w:val="auto"/>
          <w:szCs w:val="21"/>
          <w:highlight w:val="none"/>
        </w:rPr>
        <w:fldChar w:fldCharType="separate"/>
      </w:r>
      <w:r>
        <w:rPr>
          <w:rFonts w:hint="eastAsia" w:ascii="黑体" w:hAnsi="黑体" w:eastAsia="黑体" w:cs="黑体"/>
          <w:color w:val="auto"/>
          <w:szCs w:val="21"/>
          <w:highlight w:val="none"/>
          <w:u w:val="single"/>
        </w:rPr>
        <w:t xml:space="preserve">财务</w:t>
      </w:r>
      <w:r>
        <w:rPr>
          <w:rFonts w:hint="eastAsia" w:ascii="黑体" w:hAnsi="黑体" w:eastAsia="黑体" w:cs="黑体"/>
          <w:color w:val="auto"/>
          <w:szCs w:val="21"/>
          <w:highlight w:val="none"/>
          <w:u w:val="single"/>
        </w:rPr>
        <w:fldChar w:fldCharType="end"/>
      </w:r>
      <w:r>
        <w:rPr>
          <w:rFonts w:hint="eastAsia" w:ascii="黑体" w:hAnsi="黑体" w:eastAsia="黑体" w:cs="黑体"/>
          <w:color w:val="auto"/>
          <w:szCs w:val="21"/>
          <w:highlight w:val="none"/>
          <w:u w:val="single"/>
        </w:rPr>
        <w:t xml:space="preserve">运作负责；</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8.与业主、监理保持经常沟通，了解业主需求，解决随时出现的问题，替业主排忧解难，保护业主利益；</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u w:val="single"/>
        </w:rPr>
        <w:t xml:space="preserve">9.负责组织人力资源调配、内部和外部关系协调；遵照</w:t>
      </w:r>
      <w:r>
        <w:rPr>
          <w:rFonts w:hint="eastAsia" w:ascii="黑体" w:hAnsi="黑体" w:eastAsia="黑体" w:cs="黑体"/>
          <w:color w:val="auto"/>
          <w:szCs w:val="21"/>
          <w:highlight w:val="none"/>
        </w:rPr>
        <w:fldChar w:fldCharType="begin"/>
      </w:r>
      <w:r>
        <w:rPr>
          <w:rFonts w:hint="eastAsia" w:ascii="黑体" w:hAnsi="黑体" w:eastAsia="黑体" w:cs="黑体"/>
          <w:color w:val="auto"/>
          <w:szCs w:val="21"/>
          <w:highlight w:val="none"/>
        </w:rPr>
        <w:instrText xml:space="preserve"> HYPERLINK "http://www.fdcew.com/gw/List_211.html" </w:instrText>
      </w:r>
      <w:r>
        <w:rPr>
          <w:rFonts w:hint="eastAsia" w:ascii="黑体" w:hAnsi="黑体" w:eastAsia="黑体" w:cs="黑体"/>
          <w:color w:val="auto"/>
          <w:szCs w:val="21"/>
          <w:highlight w:val="none"/>
        </w:rPr>
        <w:fldChar w:fldCharType="separate"/>
      </w:r>
      <w:r>
        <w:rPr>
          <w:rFonts w:hint="eastAsia" w:ascii="黑体" w:hAnsi="黑体" w:eastAsia="黑体" w:cs="黑体"/>
          <w:color w:val="auto"/>
          <w:szCs w:val="21"/>
          <w:highlight w:val="none"/>
          <w:u w:val="single"/>
        </w:rPr>
        <w:t xml:space="preserve">合同</w:t>
      </w:r>
      <w:r>
        <w:rPr>
          <w:rFonts w:hint="eastAsia" w:ascii="黑体" w:hAnsi="黑体" w:eastAsia="黑体" w:cs="黑体"/>
          <w:color w:val="auto"/>
          <w:szCs w:val="21"/>
          <w:highlight w:val="none"/>
          <w:u w:val="single"/>
        </w:rPr>
        <w:fldChar w:fldCharType="end"/>
      </w:r>
      <w:r>
        <w:rPr>
          <w:rFonts w:hint="eastAsia" w:ascii="黑体" w:hAnsi="黑体" w:eastAsia="黑体" w:cs="黑体"/>
          <w:color w:val="auto"/>
          <w:szCs w:val="21"/>
          <w:highlight w:val="none"/>
          <w:u w:val="single"/>
        </w:rPr>
        <w:t xml:space="preserve">约定及施工组织设计中的内容实施于工程，当超出实施范围应向上级决策机构申报。</w:t>
      </w:r>
      <w:r/>
    </w:p>
    <w:p>
      <w:pPr>
        <w:ind w:firstLine="420"/>
        <w:spacing w:line="360" w:lineRule="auto"/>
        <w:widowControl/>
        <w:rPr>
          <w:rFonts w:hint="eastAsia" w:ascii="黑体" w:hAnsi="黑体" w:eastAsia="黑体" w:cs="黑体"/>
          <w:b/>
          <w:color w:val="auto"/>
          <w:szCs w:val="21"/>
          <w:highlight w:val="none"/>
          <w:u w:val="single"/>
        </w:rPr>
      </w:pPr>
      <w:r>
        <w:rPr>
          <w:rFonts w:hint="eastAsia" w:ascii="黑体" w:hAnsi="黑体" w:eastAsia="黑体" w:cs="黑体"/>
          <w:color w:val="auto"/>
          <w:szCs w:val="21"/>
          <w:highlight w:val="none"/>
        </w:rPr>
        <w:t xml:space="preserve">关于项目经理每月在施工现场的时间要求：</w:t>
      </w:r>
      <w:r>
        <w:rPr>
          <w:rFonts w:hint="eastAsia" w:ascii="黑体" w:hAnsi="黑体" w:eastAsia="黑体" w:cs="黑体"/>
          <w:color w:val="auto"/>
          <w:szCs w:val="21"/>
          <w:highlight w:val="none"/>
          <w:u w:val="single"/>
        </w:rPr>
        <w:t xml:space="preserve"> 项目经理必须亲临施工现场组织本工程项目的施工，必须严格遵循现行的有关法律、法规，切实履行自己的权利和义务。项目实施期间，项目经理应驻守现场，现场办公，离开施工现场应向发包人驻工地代表请假。项目经理擅离职守，每发现一次，将向发包人支付10000元违约金</w:t>
      </w:r>
      <w:r>
        <w:rPr>
          <w:rFonts w:hint="eastAsia" w:ascii="黑体" w:hAnsi="黑体" w:eastAsia="黑体" w:cs="黑体"/>
          <w:color w:val="auto"/>
          <w:szCs w:val="21"/>
          <w:highlight w:val="none"/>
        </w:rPr>
        <w:t xml:space="preserve">。</w:t>
      </w:r>
      <w:r>
        <w:rPr>
          <w:rFonts w:hint="eastAsia" w:ascii="黑体" w:hAnsi="黑体" w:eastAsia="黑体" w:cs="黑体"/>
          <w:b/>
          <w:color w:val="auto"/>
          <w:szCs w:val="21"/>
          <w:highlight w:val="none"/>
          <w:u w:val="single"/>
        </w:rPr>
        <w:t xml:space="preserve">且应及时参加发包人、监理方组织的例会并保证现场施工及时顺畅的进行。</w:t>
      </w:r>
      <w:r/>
    </w:p>
    <w:p>
      <w:pPr>
        <w:ind w:firstLine="422"/>
        <w:spacing w:line="360" w:lineRule="auto"/>
        <w:widowControl/>
        <w:rPr>
          <w:rFonts w:hint="eastAsia" w:ascii="黑体" w:hAnsi="黑体" w:eastAsia="黑体" w:cs="黑体"/>
          <w:b/>
          <w:color w:val="auto"/>
          <w:szCs w:val="21"/>
          <w:highlight w:val="none"/>
          <w:u w:val="single"/>
        </w:rPr>
      </w:pPr>
      <w:r>
        <w:rPr>
          <w:rFonts w:hint="eastAsia" w:ascii="黑体" w:hAnsi="黑体" w:eastAsia="黑体" w:cs="黑体"/>
          <w:b/>
          <w:color w:val="auto"/>
          <w:szCs w:val="21"/>
          <w:highlight w:val="none"/>
          <w:u w:val="single"/>
        </w:rPr>
        <w:t xml:space="preserve">承包人未提交劳动合同，以及没有为项目经理缴纳社会保险证明的违约责任：承包人承担结算价金额的20%违约金，逾期未提交劳动合同，视为无项目经理，发包人有权终止合同，承包人应当赔偿发包人损失。</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rPr>
        <w:t xml:space="preserve">项目经理未经批准，擅自离开施工现场的违约责任：</w:t>
      </w:r>
      <w:r>
        <w:rPr>
          <w:rFonts w:hint="eastAsia" w:ascii="黑体" w:hAnsi="黑体" w:eastAsia="黑体" w:cs="黑体"/>
          <w:color w:val="auto"/>
          <w:szCs w:val="21"/>
          <w:highlight w:val="none"/>
          <w:u w:val="single"/>
        </w:rPr>
        <w:t xml:space="preserve">承包人应承担10000元/天的违约金，且承包人承担上述违约给发包人造成的一切损失。</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3.2.3 承包人擅自更换项目经理的违约责任：</w:t>
      </w:r>
      <w:r>
        <w:rPr>
          <w:rFonts w:hint="eastAsia" w:ascii="黑体" w:hAnsi="黑体" w:eastAsia="黑体" w:cs="黑体"/>
          <w:color w:val="auto"/>
          <w:szCs w:val="21"/>
          <w:highlight w:val="none"/>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黑体" w:hAnsi="黑体" w:eastAsia="黑体" w:cs="黑体"/>
          <w:b/>
          <w:color w:val="auto"/>
          <w:szCs w:val="21"/>
          <w:highlight w:val="none"/>
          <w:u w:val="single"/>
        </w:rPr>
        <w:t xml:space="preserve">承包人除应承担壹拾万元/次的违约金外</w:t>
      </w:r>
      <w:r>
        <w:rPr>
          <w:rFonts w:hint="eastAsia" w:ascii="黑体" w:hAnsi="黑体" w:eastAsia="黑体" w:cs="黑体"/>
          <w:color w:val="auto"/>
          <w:szCs w:val="21"/>
          <w:highlight w:val="none"/>
          <w:u w:val="single"/>
        </w:rPr>
        <w:t xml:space="preserve">，还应按照项目经理擅自离开现场的违约责任向发包人支付违约金，且发包人有权单方面终止合同，由此造成的一切损失均由承包人承担</w:t>
      </w:r>
      <w:r>
        <w:rPr>
          <w:rFonts w:hint="eastAsia" w:ascii="黑体" w:hAnsi="黑体" w:eastAsia="黑体" w:cs="黑体"/>
          <w:color w:val="auto"/>
          <w:szCs w:val="21"/>
          <w:highlight w:val="none"/>
        </w:rPr>
        <w:t xml:space="preserve">。</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rPr>
        <w:t xml:space="preserve">3.2.4 承包人无正当理由拒绝更换项目经理的违约责任：</w:t>
      </w:r>
      <w:r>
        <w:rPr>
          <w:rFonts w:hint="eastAsia" w:ascii="黑体" w:hAnsi="黑体" w:eastAsia="黑体" w:cs="黑体"/>
          <w:color w:val="auto"/>
          <w:szCs w:val="21"/>
          <w:highlight w:val="none"/>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黑体" w:hAnsi="黑体" w:eastAsia="黑体" w:cs="黑体"/>
          <w:b/>
          <w:color w:val="auto"/>
          <w:szCs w:val="21"/>
          <w:highlight w:val="none"/>
          <w:u w:val="single"/>
        </w:rPr>
        <w:t xml:space="preserve">承包人无正当理由拒绝更换项目经理，向发包人支付壹拾万元/次违约金</w:t>
      </w:r>
      <w:r>
        <w:rPr>
          <w:rFonts w:hint="eastAsia" w:ascii="黑体" w:hAnsi="黑体" w:eastAsia="黑体" w:cs="黑体"/>
          <w:color w:val="auto"/>
          <w:szCs w:val="21"/>
          <w:highlight w:val="none"/>
          <w:u w:val="single"/>
        </w:rPr>
        <w:t xml:space="preserve">，发包人并有权解除合同并责令承包人退场，由此产生的一切损失及后果由承包人承担 。</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如承包人拒绝执行发包人的合理指令，发包人有权另行委托第三方执行指令，承包人向发包人支付壹拾万元/次的违约金，且执行指令的费用由承包人支付；若承包人拒绝支付，则发包人有权从承包人工程款中扣除。</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3.3 承包人人员 </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3.3.1 承包人提交项目管理机构及施工现场管理人员安排报告的期限：</w:t>
      </w:r>
      <w:r>
        <w:rPr>
          <w:rFonts w:hint="eastAsia" w:ascii="黑体" w:hAnsi="黑体" w:eastAsia="黑体" w:cs="黑体"/>
          <w:color w:val="auto"/>
          <w:szCs w:val="21"/>
          <w:highlight w:val="none"/>
          <w:u w:val="single"/>
        </w:rPr>
        <w:t xml:space="preserve">合同生效后7天内按照</w:t>
      </w:r>
      <w:r>
        <w:rPr>
          <w:rFonts w:hint="eastAsia" w:ascii="黑体" w:hAnsi="黑体" w:eastAsia="黑体" w:cs="黑体"/>
          <w:color w:val="auto"/>
          <w:szCs w:val="21"/>
          <w:highlight w:val="none"/>
          <w:u w:val="single"/>
          <w:lang w:eastAsia="zh-CN"/>
        </w:rPr>
        <w:t xml:space="preserve">响应文件</w:t>
      </w:r>
      <w:r>
        <w:rPr>
          <w:rFonts w:hint="eastAsia" w:ascii="黑体" w:hAnsi="黑体" w:eastAsia="黑体" w:cs="黑体"/>
          <w:color w:val="auto"/>
          <w:szCs w:val="21"/>
          <w:highlight w:val="none"/>
          <w:u w:val="single"/>
        </w:rPr>
        <w:t xml:space="preserve">的项目管理机构及施工现场管理人员提交</w:t>
      </w:r>
      <w:r>
        <w:rPr>
          <w:rFonts w:hint="eastAsia" w:ascii="黑体" w:hAnsi="黑体" w:eastAsia="黑体" w:cs="黑体"/>
          <w:color w:val="auto"/>
          <w:szCs w:val="21"/>
          <w:highlight w:val="none"/>
        </w:rPr>
        <w:t xml:space="preserve">。</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3.3.3 承包人无正当理由拒绝撤换主要施工管理人员的违约责任：</w:t>
      </w:r>
      <w:r>
        <w:rPr>
          <w:rFonts w:hint="eastAsia" w:ascii="黑体" w:hAnsi="黑体" w:eastAsia="黑体" w:cs="黑体"/>
          <w:color w:val="auto"/>
          <w:szCs w:val="21"/>
          <w:highlight w:val="none"/>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黑体" w:hAnsi="黑体" w:eastAsia="黑体" w:cs="黑体"/>
          <w:b/>
          <w:color w:val="auto"/>
          <w:szCs w:val="21"/>
          <w:highlight w:val="none"/>
          <w:u w:val="single"/>
        </w:rPr>
        <w:t xml:space="preserve">承包人拒绝更换的，承包人应承担叁万元∕人.次的违约金，</w:t>
      </w:r>
      <w:r>
        <w:rPr>
          <w:rFonts w:hint="eastAsia" w:ascii="黑体" w:hAnsi="黑体" w:eastAsia="黑体" w:cs="黑体"/>
          <w:color w:val="auto"/>
          <w:szCs w:val="21"/>
          <w:highlight w:val="none"/>
          <w:u w:val="single"/>
        </w:rPr>
        <w:t xml:space="preserve">由此产生的一切损失及后果由承包人承担。</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rPr>
        <w:t xml:space="preserve">3.3.4 承包人主要施工管理人员离开施工现场的批准要求：</w:t>
      </w:r>
      <w:r>
        <w:rPr>
          <w:rFonts w:hint="eastAsia" w:ascii="黑体" w:hAnsi="黑体" w:eastAsia="黑体" w:cs="黑体"/>
          <w:color w:val="auto"/>
          <w:szCs w:val="21"/>
          <w:highlight w:val="none"/>
          <w:u w:val="single"/>
        </w:rPr>
        <w:t xml:space="preserve">主要施工管理人员，必须严格遵循现行的有关法律、法规，切实履行自己的权利和义务。项目实施期间，应全程驻守，现场办公，离开施工现场应</w:t>
      </w:r>
      <w:r>
        <w:rPr>
          <w:rFonts w:hint="eastAsia" w:ascii="黑体" w:hAnsi="黑体" w:eastAsia="黑体" w:cs="黑体"/>
          <w:b/>
          <w:color w:val="auto"/>
          <w:szCs w:val="21"/>
          <w:highlight w:val="none"/>
          <w:u w:val="single"/>
        </w:rPr>
        <w:t xml:space="preserve">由总监理工程师及发包人代表批准后方可离开</w:t>
      </w:r>
      <w:r>
        <w:rPr>
          <w:rFonts w:hint="eastAsia" w:ascii="黑体" w:hAnsi="黑体" w:eastAsia="黑体" w:cs="黑体"/>
          <w:color w:val="auto"/>
          <w:szCs w:val="21"/>
          <w:highlight w:val="none"/>
          <w:u w:val="single"/>
        </w:rPr>
        <w:t xml:space="preserve">。 施工管理人员擅自离开施工现场，承包人承担5000元/人.天的违约金，承包人还应承担上述违约给发包人造成的损失。</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3.3.5承包人擅自更换主要施工管理人员的违约责任：</w:t>
      </w:r>
      <w:r>
        <w:rPr>
          <w:rFonts w:hint="eastAsia" w:ascii="黑体" w:hAnsi="黑体" w:eastAsia="黑体" w:cs="黑体"/>
          <w:color w:val="auto"/>
          <w:szCs w:val="21"/>
          <w:highlight w:val="none"/>
          <w:u w:val="single"/>
        </w:rPr>
        <w:t xml:space="preserve">承包人的施工管理人员不能擅自更换，确须调整时，必须经发包人书面同意。擅自</w:t>
      </w:r>
      <w:r>
        <w:rPr>
          <w:rFonts w:hint="eastAsia" w:ascii="黑体" w:hAnsi="黑体" w:eastAsia="黑体" w:cs="黑体"/>
          <w:bCs/>
          <w:color w:val="auto"/>
          <w:szCs w:val="21"/>
          <w:highlight w:val="none"/>
          <w:u w:val="single"/>
        </w:rPr>
        <w:t xml:space="preserve">撤换技术负责人、质量负责人、安全负责人等其他项目部主要成员，</w:t>
      </w:r>
      <w:r>
        <w:rPr>
          <w:rFonts w:hint="eastAsia" w:ascii="黑体" w:hAnsi="黑体" w:eastAsia="黑体" w:cs="黑体"/>
          <w:color w:val="auto"/>
          <w:szCs w:val="21"/>
          <w:highlight w:val="none"/>
          <w:u w:val="single"/>
        </w:rPr>
        <w:t xml:space="preserve"> </w:t>
      </w:r>
      <w:r>
        <w:rPr>
          <w:rFonts w:hint="eastAsia" w:ascii="黑体" w:hAnsi="黑体" w:eastAsia="黑体" w:cs="黑体"/>
          <w:b/>
          <w:color w:val="auto"/>
          <w:szCs w:val="21"/>
          <w:highlight w:val="none"/>
          <w:u w:val="single"/>
        </w:rPr>
        <w:t xml:space="preserve">承包人应承担壹拾万元∕次的违约金，</w:t>
      </w:r>
      <w:r>
        <w:rPr>
          <w:rFonts w:hint="eastAsia" w:ascii="黑体" w:hAnsi="黑体" w:eastAsia="黑体" w:cs="黑体"/>
          <w:color w:val="auto"/>
          <w:szCs w:val="21"/>
          <w:highlight w:val="none"/>
          <w:u w:val="single"/>
        </w:rPr>
        <w:t xml:space="preserve">由此产生的一切损失及后果由承包人承担</w:t>
      </w:r>
      <w:r>
        <w:rPr>
          <w:rFonts w:hint="eastAsia" w:ascii="黑体" w:hAnsi="黑体" w:eastAsia="黑体" w:cs="黑体"/>
          <w:bCs/>
          <w:color w:val="auto"/>
          <w:szCs w:val="21"/>
          <w:highlight w:val="none"/>
          <w:u w:val="single"/>
        </w:rPr>
        <w:t xml:space="preserve">。</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3.5 分包</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3.5.1 分包的一般约定</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rPr>
        <w:t xml:space="preserve">禁止分包的工程包括：</w:t>
      </w:r>
      <w:r>
        <w:rPr>
          <w:rFonts w:hint="eastAsia" w:ascii="黑体" w:hAnsi="黑体" w:eastAsia="黑体" w:cs="黑体"/>
          <w:color w:val="auto"/>
          <w:szCs w:val="21"/>
          <w:highlight w:val="none"/>
          <w:u w:val="single"/>
        </w:rPr>
        <w:t xml:space="preserve">本工程禁止分包。</w:t>
      </w:r>
      <w:r/>
    </w:p>
    <w:p>
      <w:pPr>
        <w:ind w:firstLine="420"/>
        <w:jc w:val="both"/>
        <w:keepLines/>
        <w:keepNext/>
        <w:spacing w:before="0" w:after="0" w:line="360" w:lineRule="auto"/>
        <w:rPr>
          <w:rFonts w:hint="eastAsia" w:ascii="黑体" w:hAnsi="黑体" w:eastAsia="黑体" w:cs="黑体"/>
          <w:b w:val="0"/>
          <w:bCs/>
          <w:color w:val="auto"/>
          <w:sz w:val="21"/>
          <w:szCs w:val="21"/>
          <w:highlight w:val="none"/>
          <w:lang w:val="en-US" w:eastAsia="zh-CN" w:bidi="ar-SA"/>
        </w:rPr>
        <w:outlineLvl w:val="9"/>
      </w:pPr>
      <w:r>
        <w:rPr>
          <w:rFonts w:hint="eastAsia" w:ascii="黑体" w:hAnsi="黑体" w:eastAsia="黑体" w:cs="黑体"/>
          <w:b w:val="0"/>
          <w:bCs/>
          <w:color w:val="auto"/>
          <w:sz w:val="21"/>
          <w:szCs w:val="21"/>
          <w:highlight w:val="none"/>
          <w:lang w:val="en-US" w:eastAsia="zh-CN" w:bidi="ar-SA"/>
        </w:rPr>
        <w:t xml:space="preserve">4. 监理人</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4.1监理人的一般规定</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rPr>
        <w:t xml:space="preserve">关于监理人的监理内容：</w:t>
      </w:r>
      <w:r>
        <w:rPr>
          <w:rFonts w:hint="eastAsia" w:ascii="黑体" w:hAnsi="黑体" w:eastAsia="黑体" w:cs="黑体"/>
          <w:color w:val="auto"/>
          <w:szCs w:val="21"/>
          <w:highlight w:val="none"/>
          <w:u w:val="single"/>
        </w:rPr>
        <w:t xml:space="preserve"> 施工图设计范围内（含变更）工程施工的安全、质量、进度、文明施工、扬尘防治、成本控制；本项目分包、转包监督等。</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关于监理人的监理权限：</w:t>
      </w:r>
      <w:r>
        <w:rPr>
          <w:rFonts w:hint="eastAsia" w:ascii="黑体" w:hAnsi="黑体" w:eastAsia="黑体" w:cs="黑体"/>
          <w:color w:val="auto"/>
          <w:szCs w:val="21"/>
          <w:highlight w:val="none"/>
          <w:u w:val="single"/>
        </w:rPr>
        <w:t xml:space="preserve">对工程建设实施全面监督和管理，但不得修改本施工合同、减轻或免除合同约定的承包人的任何责任与义务，任何增加工程造价的签证均需获得发包人同意。 </w:t>
      </w:r>
      <w:r>
        <w:rPr>
          <w:rFonts w:hint="eastAsia" w:ascii="黑体" w:hAnsi="黑体" w:eastAsia="黑体" w:cs="黑体"/>
          <w:color w:val="auto"/>
          <w:szCs w:val="21"/>
          <w:highlight w:val="none"/>
        </w:rPr>
        <w:t xml:space="preserve"> </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关于监理人在施工现场的办公场所、生活场所的提供和费用承担的约定：</w:t>
      </w:r>
      <w:r>
        <w:rPr>
          <w:rFonts w:hint="eastAsia" w:ascii="黑体" w:hAnsi="黑体" w:eastAsia="黑体" w:cs="黑体"/>
          <w:color w:val="auto"/>
          <w:szCs w:val="21"/>
          <w:highlight w:val="none"/>
          <w:u w:val="single"/>
        </w:rPr>
        <w:t xml:space="preserve"> 监理人在施工现场的办公场所、生活场所的提供和费用由监理人自行承担 </w:t>
      </w:r>
      <w:r>
        <w:rPr>
          <w:rFonts w:hint="eastAsia" w:ascii="黑体" w:hAnsi="黑体" w:eastAsia="黑体" w:cs="黑体"/>
          <w:color w:val="auto"/>
          <w:szCs w:val="21"/>
          <w:highlight w:val="none"/>
        </w:rPr>
        <w:t xml:space="preserve">。</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（1）职责范围</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施工全过程监理，包括“三控二管一协调以及安全管理”，即施工过程中的质量、进度、投资控制，合同、信息等方面的管理及安全文明生产管理 ；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 </w:t>
      </w:r>
      <w:r/>
    </w:p>
    <w:p>
      <w:pPr>
        <w:ind w:left="-357" w:firstLine="63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（2）工程变更和签证授权</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涉及设计变更和签证单的签字，监理人的总监工程师签字后应在24小时内送交委托人工地代表核准。其中，涉及到费用增加的签证单，监理人应在签字前通知委托人的工地代表，确认是否需要征得委托人同意，否则，因监理人签证所发生的增加费用，委托人将不予认可。</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（3）监理人在征得委托人代表同意的前提下，有权要求承包人调换其人员。 </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4.2 监理人员</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总监理工程师：</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姓    名：</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职    务：</w:t>
      </w:r>
      <w:r>
        <w:rPr>
          <w:rFonts w:hint="eastAsia" w:ascii="黑体" w:hAnsi="黑体" w:eastAsia="黑体" w:cs="黑体"/>
          <w:color w:val="auto"/>
          <w:szCs w:val="21"/>
          <w:highlight w:val="none"/>
          <w:u w:val="single"/>
        </w:rPr>
        <w:t xml:space="preserve">   总监理工程师           </w:t>
      </w:r>
      <w:r>
        <w:rPr>
          <w:rFonts w:hint="eastAsia" w:ascii="黑体" w:hAnsi="黑体" w:eastAsia="黑体" w:cs="黑体"/>
          <w:color w:val="auto"/>
          <w:szCs w:val="21"/>
          <w:highlight w:val="none"/>
        </w:rPr>
        <w:t xml:space="preserve">；</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监理工程师执业资格证书号：</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联系电话：</w:t>
      </w:r>
      <w:r>
        <w:rPr>
          <w:rFonts w:hint="eastAsia" w:ascii="黑体" w:hAnsi="黑体" w:eastAsia="黑体" w:cs="黑体"/>
          <w:color w:val="auto"/>
          <w:szCs w:val="21"/>
          <w:highlight w:val="none"/>
          <w:u w:val="single"/>
        </w:rPr>
        <w:t xml:space="preserve">                          </w:t>
      </w:r>
      <w:r>
        <w:rPr>
          <w:rFonts w:hint="eastAsia" w:ascii="黑体" w:hAnsi="黑体" w:eastAsia="黑体" w:cs="黑体"/>
          <w:color w:val="auto"/>
          <w:szCs w:val="21"/>
          <w:highlight w:val="none"/>
        </w:rPr>
        <w:t xml:space="preserve">；</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关于监理人的其他约定：</w:t>
      </w:r>
      <w:r>
        <w:rPr>
          <w:rFonts w:hint="eastAsia" w:ascii="黑体" w:hAnsi="黑体" w:eastAsia="黑体" w:cs="黑体"/>
          <w:color w:val="auto"/>
          <w:szCs w:val="21"/>
          <w:highlight w:val="none"/>
          <w:u w:val="single"/>
        </w:rPr>
        <w:t xml:space="preserve">详见本工程监理合同</w:t>
      </w:r>
      <w:r>
        <w:rPr>
          <w:rFonts w:hint="eastAsia" w:ascii="黑体" w:hAnsi="黑体" w:eastAsia="黑体" w:cs="黑体"/>
          <w:color w:val="auto"/>
          <w:szCs w:val="21"/>
          <w:highlight w:val="none"/>
        </w:rPr>
        <w:t xml:space="preserve">。</w:t>
      </w:r>
      <w:r/>
    </w:p>
    <w:p>
      <w:pPr>
        <w:jc w:val="both"/>
        <w:keepLines/>
        <w:keepNext/>
        <w:spacing w:before="0" w:after="0" w:line="360" w:lineRule="auto"/>
        <w:rPr>
          <w:rFonts w:hint="eastAsia" w:ascii="黑体" w:hAnsi="黑体" w:eastAsia="黑体" w:cs="黑体"/>
          <w:b w:val="0"/>
          <w:bCs/>
          <w:color w:val="auto"/>
          <w:sz w:val="21"/>
          <w:szCs w:val="21"/>
          <w:highlight w:val="none"/>
          <w:lang w:val="en-US" w:eastAsia="zh-CN" w:bidi="ar-SA"/>
        </w:rPr>
        <w:outlineLvl w:val="9"/>
      </w:pPr>
      <w:r>
        <w:rPr>
          <w:rFonts w:hint="eastAsia" w:ascii="黑体" w:hAnsi="黑体" w:eastAsia="黑体" w:cs="黑体"/>
          <w:b w:val="0"/>
          <w:bCs/>
          <w:color w:val="auto"/>
          <w:sz w:val="21"/>
          <w:szCs w:val="21"/>
          <w:highlight w:val="none"/>
          <w:lang w:val="en-US" w:eastAsia="zh-CN" w:bidi="ar-SA"/>
        </w:rPr>
        <w:t xml:space="preserve">5. 工程质量</w:t>
      </w:r>
      <w:r/>
    </w:p>
    <w:p>
      <w:pPr>
        <w:ind w:firstLine="420"/>
        <w:spacing w:line="360" w:lineRule="auto"/>
        <w:widowControl/>
        <w:rPr>
          <w:rFonts w:hint="eastAsia" w:ascii="黑体" w:hAnsi="黑体" w:eastAsia="黑体" w:cs="黑体"/>
          <w:color w:val="auto"/>
          <w:szCs w:val="21"/>
          <w:highlight w:val="none"/>
        </w:rPr>
        <w:outlineLvl w:val="9"/>
      </w:pPr>
      <w:r>
        <w:rPr>
          <w:rFonts w:hint="eastAsia" w:ascii="黑体" w:hAnsi="黑体" w:eastAsia="黑体" w:cs="黑体"/>
          <w:color w:val="auto"/>
          <w:szCs w:val="21"/>
          <w:highlight w:val="none"/>
        </w:rPr>
        <w:t xml:space="preserve">5.1 质量要求</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rPr>
        <w:t xml:space="preserve">5.1 特殊质量标准和要求：</w:t>
      </w:r>
      <w:r>
        <w:rPr>
          <w:rFonts w:hint="eastAsia" w:ascii="黑体" w:hAnsi="黑体" w:eastAsia="黑体" w:cs="黑体"/>
          <w:color w:val="auto"/>
          <w:szCs w:val="21"/>
          <w:highlight w:val="none"/>
          <w:u w:val="single"/>
        </w:rPr>
        <w:t xml:space="preserve">执行《徐州市城市管理局施工现场履约考核办法》、《徐州市城市管理局城建重点工程质量抽检工作实施办法》（试行）。满足发包人及道路移交相关部门的要求。</w:t>
      </w:r>
      <w:r/>
    </w:p>
    <w:p>
      <w:pPr>
        <w:ind w:firstLine="420"/>
        <w:spacing w:line="360" w:lineRule="auto"/>
        <w:widowControl/>
        <w:rPr>
          <w:rFonts w:hint="eastAsia" w:ascii="黑体" w:hAnsi="黑体" w:eastAsia="黑体" w:cs="黑体"/>
          <w:color w:val="auto"/>
          <w:szCs w:val="21"/>
          <w:highlight w:val="none"/>
        </w:rPr>
        <w:outlineLvl w:val="9"/>
      </w:pPr>
      <w:r>
        <w:rPr>
          <w:rFonts w:hint="eastAsia" w:ascii="黑体" w:hAnsi="黑体" w:eastAsia="黑体" w:cs="黑体"/>
          <w:color w:val="auto"/>
          <w:szCs w:val="21"/>
          <w:highlight w:val="none"/>
        </w:rPr>
        <w:t xml:space="preserve">5.2 隐蔽工程检查</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承包人提前通知监理人隐蔽工程检查的期限的约定：</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u w:val="single"/>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监理人不能按时进行检查时，应提前</w:t>
      </w:r>
      <w:r>
        <w:rPr>
          <w:rFonts w:hint="eastAsia" w:ascii="黑体" w:hAnsi="黑体" w:eastAsia="黑体" w:cs="黑体"/>
          <w:color w:val="auto"/>
          <w:szCs w:val="21"/>
          <w:highlight w:val="none"/>
          <w:u w:val="single"/>
        </w:rPr>
        <w:t xml:space="preserve">  8  </w:t>
      </w:r>
      <w:r>
        <w:rPr>
          <w:rFonts w:hint="eastAsia" w:ascii="黑体" w:hAnsi="黑体" w:eastAsia="黑体" w:cs="黑体"/>
          <w:color w:val="auto"/>
          <w:szCs w:val="21"/>
          <w:highlight w:val="none"/>
        </w:rPr>
        <w:t xml:space="preserve">小时提交书面延期要求。关于延期最长不得超过：</w:t>
      </w:r>
      <w:r>
        <w:rPr>
          <w:rFonts w:hint="eastAsia" w:ascii="黑体" w:hAnsi="黑体" w:eastAsia="黑体" w:cs="黑体"/>
          <w:color w:val="auto"/>
          <w:szCs w:val="21"/>
          <w:highlight w:val="none"/>
          <w:u w:val="single"/>
        </w:rPr>
        <w:t xml:space="preserve">  24  </w:t>
      </w:r>
      <w:r>
        <w:rPr>
          <w:rFonts w:hint="eastAsia" w:ascii="黑体" w:hAnsi="黑体" w:eastAsia="黑体" w:cs="黑体"/>
          <w:color w:val="auto"/>
          <w:szCs w:val="21"/>
          <w:highlight w:val="none"/>
        </w:rPr>
        <w:t xml:space="preserve">小时。</w:t>
      </w:r>
      <w:r/>
    </w:p>
    <w:p>
      <w:pPr>
        <w:jc w:val="both"/>
        <w:keepLines/>
        <w:keepNext/>
        <w:spacing w:before="0" w:after="0" w:line="360" w:lineRule="auto"/>
        <w:rPr>
          <w:rFonts w:hint="eastAsia" w:ascii="黑体" w:hAnsi="黑体" w:eastAsia="黑体" w:cs="黑体"/>
          <w:b w:val="0"/>
          <w:bCs/>
          <w:color w:val="auto"/>
          <w:sz w:val="21"/>
          <w:szCs w:val="21"/>
          <w:highlight w:val="none"/>
          <w:lang w:val="en-US" w:eastAsia="zh-CN" w:bidi="ar-SA"/>
        </w:rPr>
        <w:outlineLvl w:val="9"/>
      </w:pPr>
      <w:r>
        <w:rPr>
          <w:rFonts w:hint="eastAsia" w:ascii="黑体" w:hAnsi="黑体" w:eastAsia="黑体" w:cs="黑体"/>
          <w:b w:val="0"/>
          <w:bCs/>
          <w:color w:val="auto"/>
          <w:sz w:val="21"/>
          <w:szCs w:val="21"/>
          <w:highlight w:val="none"/>
          <w:lang w:val="en-US" w:eastAsia="zh-CN" w:bidi="ar-SA"/>
        </w:rPr>
        <w:t xml:space="preserve">6. 安全文明施工与环境保护</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6.1安全文明施工</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rPr>
        <w:t xml:space="preserve">6.1.1 项目安全生产的达标目标及相应事项的约定：</w:t>
      </w:r>
      <w:r>
        <w:rPr>
          <w:rFonts w:hint="eastAsia" w:ascii="黑体" w:hAnsi="黑体" w:eastAsia="黑体" w:cs="黑体"/>
          <w:color w:val="auto"/>
          <w:szCs w:val="21"/>
          <w:highlight w:val="none"/>
          <w:u w:val="single"/>
        </w:rPr>
        <w:t xml:space="preserve"> </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fldChar w:fldCharType="begin"/>
      </w:r>
      <w:r>
        <w:rPr>
          <w:rFonts w:hint="eastAsia" w:ascii="黑体" w:hAnsi="黑体" w:eastAsia="黑体" w:cs="黑体"/>
          <w:color w:val="auto"/>
          <w:szCs w:val="21"/>
          <w:highlight w:val="none"/>
          <w:u w:val="single"/>
        </w:rPr>
        <w:instrText xml:space="preserve"> = 1 \* GB3 </w:instrText>
      </w:r>
      <w:r>
        <w:rPr>
          <w:rFonts w:hint="eastAsia" w:ascii="黑体" w:hAnsi="黑体" w:eastAsia="黑体" w:cs="黑体"/>
          <w:color w:val="auto"/>
          <w:szCs w:val="21"/>
          <w:highlight w:val="none"/>
          <w:u w:val="single"/>
        </w:rPr>
        <w:fldChar w:fldCharType="separate"/>
      </w:r>
      <w:r>
        <w:rPr>
          <w:rFonts w:hint="eastAsia" w:ascii="黑体" w:hAnsi="黑体" w:eastAsia="黑体" w:cs="黑体"/>
          <w:color w:val="auto"/>
          <w:szCs w:val="21"/>
          <w:highlight w:val="none"/>
          <w:u w:val="single"/>
        </w:rPr>
        <w:t xml:space="preserve">①</w:t>
      </w:r>
      <w:r>
        <w:rPr>
          <w:rFonts w:hint="eastAsia" w:ascii="黑体" w:hAnsi="黑体" w:eastAsia="黑体" w:cs="黑体"/>
          <w:color w:val="auto"/>
          <w:szCs w:val="21"/>
          <w:highlight w:val="none"/>
          <w:u w:val="single"/>
        </w:rPr>
        <w:fldChar w:fldCharType="end"/>
      </w:r>
      <w:r>
        <w:rPr>
          <w:rFonts w:hint="eastAsia" w:ascii="黑体" w:hAnsi="黑体" w:eastAsia="黑体" w:cs="黑体"/>
          <w:color w:val="auto"/>
          <w:szCs w:val="21"/>
          <w:highlight w:val="none"/>
          <w:u w:val="single"/>
        </w:rPr>
        <w:t xml:space="preserve">达标目标为徐州市安全文明工地及相关规范标准。其安全文明施工费用已经含在投标报价内。</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②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rPr>
          <w:rFonts w:hint="eastAsia" w:ascii="黑体" w:hAnsi="黑体" w:eastAsia="黑体" w:cs="黑体"/>
          <w:color w:val="auto"/>
          <w:szCs w:val="21"/>
          <w:highlight w:val="none"/>
          <w:u w:val="single"/>
        </w:rPr>
        <w:fldChar w:fldCharType="begin"/>
      </w:r>
      <w:r>
        <w:rPr>
          <w:rFonts w:hint="eastAsia" w:ascii="黑体" w:hAnsi="黑体" w:eastAsia="黑体" w:cs="黑体"/>
          <w:color w:val="auto"/>
          <w:szCs w:val="21"/>
          <w:highlight w:val="none"/>
          <w:u w:val="single"/>
        </w:rPr>
        <w:instrText xml:space="preserve"> = 2 \* GB3 </w:instrText>
      </w:r>
      <w:r>
        <w:rPr>
          <w:rFonts w:hint="eastAsia" w:ascii="黑体" w:hAnsi="黑体" w:eastAsia="黑体" w:cs="黑体"/>
          <w:color w:val="auto"/>
          <w:szCs w:val="21"/>
          <w:highlight w:val="none"/>
          <w:u w:val="single"/>
        </w:rPr>
        <w:fldChar w:fldCharType="separate"/>
      </w:r>
      <w:r>
        <w:rPr>
          <w:rFonts w:hint="eastAsia" w:ascii="黑体" w:hAnsi="黑体" w:eastAsia="黑体" w:cs="黑体"/>
          <w:color w:val="auto"/>
          <w:szCs w:val="21"/>
          <w:highlight w:val="none"/>
          <w:u w:val="single"/>
        </w:rPr>
        <w:t xml:space="preserve">②</w:t>
      </w:r>
      <w:r>
        <w:rPr>
          <w:rFonts w:hint="eastAsia" w:ascii="黑体" w:hAnsi="黑体" w:eastAsia="黑体" w:cs="黑体"/>
          <w:color w:val="auto"/>
          <w:szCs w:val="21"/>
          <w:highlight w:val="none"/>
          <w:u w:val="single"/>
        </w:rPr>
        <w:fldChar w:fldCharType="end"/>
      </w:r>
      <w:r>
        <w:rPr>
          <w:rFonts w:hint="eastAsia" w:ascii="黑体" w:hAnsi="黑体" w:eastAsia="黑体" w:cs="黑体"/>
          <w:color w:val="auto"/>
          <w:szCs w:val="21"/>
          <w:highlight w:val="none"/>
          <w:u w:val="single"/>
        </w:rPr>
        <w:t xml:space="preserve">施工过程中的排污、环卫、市容、城建、城管、治安、人口管理等相关手续由承包人按规定负责办理，对临近居民和行人的影响由承包人负责处理并承担相应费用。</w:t>
      </w:r>
      <w:r>
        <w:rPr>
          <w:rFonts w:hint="eastAsia" w:ascii="黑体" w:hAnsi="黑体" w:eastAsia="黑体" w:cs="黑体"/>
          <w:color w:val="auto"/>
          <w:szCs w:val="21"/>
          <w:highlight w:val="none"/>
          <w:u w:val="single"/>
        </w:rPr>
        <w:fldChar w:fldCharType="begin"/>
      </w:r>
      <w:r>
        <w:rPr>
          <w:rFonts w:hint="eastAsia" w:ascii="黑体" w:hAnsi="黑体" w:eastAsia="黑体" w:cs="黑体"/>
          <w:color w:val="auto"/>
          <w:szCs w:val="21"/>
          <w:highlight w:val="none"/>
          <w:u w:val="single"/>
        </w:rPr>
        <w:instrText xml:space="preserve"> = 3 \* GB3 </w:instrText>
      </w:r>
      <w:r>
        <w:rPr>
          <w:rFonts w:hint="eastAsia" w:ascii="黑体" w:hAnsi="黑体" w:eastAsia="黑体" w:cs="黑体"/>
          <w:color w:val="auto"/>
          <w:szCs w:val="21"/>
          <w:highlight w:val="none"/>
          <w:u w:val="single"/>
        </w:rPr>
        <w:fldChar w:fldCharType="separate"/>
      </w:r>
      <w:r>
        <w:rPr>
          <w:rFonts w:hint="eastAsia" w:ascii="黑体" w:hAnsi="黑体" w:eastAsia="黑体" w:cs="黑体"/>
          <w:color w:val="auto"/>
          <w:szCs w:val="21"/>
          <w:highlight w:val="none"/>
          <w:u w:val="single"/>
        </w:rPr>
        <w:t xml:space="preserve">③</w:t>
      </w:r>
      <w:r>
        <w:rPr>
          <w:rFonts w:hint="eastAsia" w:ascii="黑体" w:hAnsi="黑体" w:eastAsia="黑体" w:cs="黑体"/>
          <w:color w:val="auto"/>
          <w:szCs w:val="21"/>
          <w:highlight w:val="none"/>
          <w:u w:val="single"/>
        </w:rPr>
        <w:fldChar w:fldCharType="end"/>
      </w:r>
      <w:r>
        <w:rPr>
          <w:rFonts w:hint="eastAsia" w:ascii="黑体" w:hAnsi="黑体" w:eastAsia="黑体" w:cs="黑体"/>
          <w:color w:val="auto"/>
          <w:szCs w:val="21"/>
          <w:highlight w:val="none"/>
          <w:u w:val="single"/>
        </w:rPr>
        <w:t xml:space="preserve">承包人负责采取有效措施对已完成工程成品的保护，费用由承包人承担。保护期间发生的损坏承包人自费予以修理。损坏其他单位所承担的施工内容，由承包人负责赔偿，并承担修复费用。</w:t>
      </w:r>
      <w:r>
        <w:rPr>
          <w:rFonts w:hint="eastAsia" w:ascii="黑体" w:hAnsi="黑体" w:eastAsia="黑体" w:cs="黑体"/>
          <w:color w:val="auto"/>
          <w:szCs w:val="21"/>
          <w:highlight w:val="none"/>
          <w:u w:val="single"/>
        </w:rPr>
        <w:fldChar w:fldCharType="begin"/>
      </w:r>
      <w:r>
        <w:rPr>
          <w:rFonts w:hint="eastAsia" w:ascii="黑体" w:hAnsi="黑体" w:eastAsia="黑体" w:cs="黑体"/>
          <w:color w:val="auto"/>
          <w:szCs w:val="21"/>
          <w:highlight w:val="none"/>
          <w:u w:val="single"/>
        </w:rPr>
        <w:instrText xml:space="preserve"> = 4 \* GB3 </w:instrText>
      </w:r>
      <w:r>
        <w:rPr>
          <w:rFonts w:hint="eastAsia" w:ascii="黑体" w:hAnsi="黑体" w:eastAsia="黑体" w:cs="黑体"/>
          <w:color w:val="auto"/>
          <w:szCs w:val="21"/>
          <w:highlight w:val="none"/>
          <w:u w:val="single"/>
        </w:rPr>
        <w:fldChar w:fldCharType="separate"/>
      </w:r>
      <w:r>
        <w:rPr>
          <w:rFonts w:hint="eastAsia" w:ascii="黑体" w:hAnsi="黑体" w:eastAsia="黑体" w:cs="黑体"/>
          <w:color w:val="auto"/>
          <w:szCs w:val="21"/>
          <w:highlight w:val="none"/>
          <w:u w:val="single"/>
        </w:rPr>
        <w:t xml:space="preserve">④</w:t>
      </w:r>
      <w:r>
        <w:rPr>
          <w:rFonts w:hint="eastAsia" w:ascii="黑体" w:hAnsi="黑体" w:eastAsia="黑体" w:cs="黑体"/>
          <w:color w:val="auto"/>
          <w:szCs w:val="21"/>
          <w:highlight w:val="none"/>
          <w:u w:val="single"/>
        </w:rPr>
        <w:fldChar w:fldCharType="end"/>
      </w:r>
      <w:r>
        <w:rPr>
          <w:rFonts w:hint="eastAsia" w:ascii="黑体" w:hAnsi="黑体" w:eastAsia="黑体" w:cs="黑体"/>
          <w:color w:val="auto"/>
          <w:szCs w:val="21"/>
          <w:highlight w:val="none"/>
          <w:u w:val="single"/>
        </w:rPr>
        <w:t xml:space="preserve">承包人按规定做好施工场地周围地下管线和邻近建筑物的保护。</w:t>
      </w:r>
      <w:r>
        <w:rPr>
          <w:rFonts w:hint="eastAsia" w:ascii="黑体" w:hAnsi="黑体" w:eastAsia="黑体" w:cs="黑体"/>
          <w:color w:val="auto"/>
          <w:szCs w:val="21"/>
          <w:highlight w:val="none"/>
          <w:u w:val="single"/>
        </w:rPr>
        <w:fldChar w:fldCharType="begin"/>
      </w:r>
      <w:r>
        <w:rPr>
          <w:rFonts w:hint="eastAsia" w:ascii="黑体" w:hAnsi="黑体" w:eastAsia="黑体" w:cs="黑体"/>
          <w:color w:val="auto"/>
          <w:szCs w:val="21"/>
          <w:highlight w:val="none"/>
          <w:u w:val="single"/>
        </w:rPr>
        <w:instrText xml:space="preserve"> = 5 \* GB3 </w:instrText>
      </w:r>
      <w:r>
        <w:rPr>
          <w:rFonts w:hint="eastAsia" w:ascii="黑体" w:hAnsi="黑体" w:eastAsia="黑体" w:cs="黑体"/>
          <w:color w:val="auto"/>
          <w:szCs w:val="21"/>
          <w:highlight w:val="none"/>
          <w:u w:val="single"/>
        </w:rPr>
        <w:fldChar w:fldCharType="separate"/>
      </w:r>
      <w:r>
        <w:rPr>
          <w:rFonts w:hint="eastAsia" w:ascii="黑体" w:hAnsi="黑体" w:eastAsia="黑体" w:cs="黑体"/>
          <w:color w:val="auto"/>
          <w:szCs w:val="21"/>
          <w:highlight w:val="none"/>
          <w:u w:val="single"/>
        </w:rPr>
        <w:t xml:space="preserve">⑤</w:t>
      </w:r>
      <w:r>
        <w:rPr>
          <w:rFonts w:hint="eastAsia" w:ascii="黑体" w:hAnsi="黑体" w:eastAsia="黑体" w:cs="黑体"/>
          <w:color w:val="auto"/>
          <w:szCs w:val="21"/>
          <w:highlight w:val="none"/>
          <w:u w:val="single"/>
        </w:rPr>
        <w:fldChar w:fldCharType="end"/>
      </w:r>
      <w:r>
        <w:rPr>
          <w:rFonts w:hint="eastAsia" w:ascii="黑体" w:hAnsi="黑体" w:eastAsia="黑体" w:cs="黑体"/>
          <w:color w:val="auto"/>
          <w:szCs w:val="21"/>
          <w:highlight w:val="none"/>
          <w:u w:val="single"/>
        </w:rPr>
        <w:t xml:space="preserve">其安全文明施工费已经含在合同价款（即中标价）内。</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承包人须按规范要求做好扬尘污染防治措施，全部费用均包含在内；</w:t>
      </w:r>
      <w:r/>
    </w:p>
    <w:p>
      <w:pPr>
        <w:ind w:firstLine="420"/>
        <w:spacing w:line="360" w:lineRule="auto"/>
        <w:widowControl/>
        <w:rPr>
          <w:rFonts w:hint="eastAsia" w:ascii="黑体" w:hAnsi="黑体" w:eastAsia="黑体" w:cs="黑体"/>
          <w:bCs/>
          <w:color w:val="auto"/>
          <w:szCs w:val="21"/>
          <w:highlight w:val="none"/>
          <w:u w:val="single"/>
        </w:rPr>
      </w:pPr>
      <w:r>
        <w:rPr>
          <w:rFonts w:hint="eastAsia" w:ascii="黑体" w:hAnsi="黑体" w:eastAsia="黑体" w:cs="黑体"/>
          <w:bCs/>
          <w:color w:val="auto"/>
          <w:szCs w:val="21"/>
          <w:highlight w:val="none"/>
          <w:u w:val="single"/>
        </w:rPr>
        <w:t xml:space="preserve">开工通知载明的开工日期20天前提交安全技术措施或专项施工方案、安全生产责任制度、治安保卫制度及安全生产教育培训制度；开工通知载明的开工日期20天前提交安全技术措施或专项施工方案、安全生产责任制度、治安保卫制度及安全生产教育培训制度；</w:t>
      </w:r>
      <w:r/>
    </w:p>
    <w:p>
      <w:pPr>
        <w:ind w:firstLine="420"/>
        <w:spacing w:line="360" w:lineRule="auto"/>
        <w:widowControl/>
        <w:rPr>
          <w:rFonts w:hint="eastAsia" w:ascii="黑体" w:hAnsi="黑体" w:eastAsia="黑体" w:cs="黑体"/>
          <w:bCs/>
          <w:color w:val="auto"/>
          <w:szCs w:val="21"/>
          <w:highlight w:val="none"/>
          <w:u w:val="single"/>
        </w:rPr>
      </w:pPr>
      <w:r>
        <w:rPr>
          <w:rFonts w:hint="eastAsia" w:ascii="黑体" w:hAnsi="黑体" w:eastAsia="黑体" w:cs="黑体"/>
          <w:bCs/>
          <w:color w:val="auto"/>
          <w:szCs w:val="21"/>
          <w:highlight w:val="non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w:t>
      </w:r>
      <w:r/>
    </w:p>
    <w:p>
      <w:pPr>
        <w:ind w:firstLine="420"/>
        <w:spacing w:line="360" w:lineRule="auto"/>
        <w:widowControl/>
        <w:rPr>
          <w:rFonts w:hint="eastAsia" w:ascii="黑体" w:hAnsi="黑体" w:eastAsia="黑体" w:cs="黑体"/>
          <w:bCs/>
          <w:color w:val="auto"/>
          <w:szCs w:val="21"/>
          <w:highlight w:val="none"/>
          <w:u w:val="single"/>
        </w:rPr>
      </w:pPr>
      <w:r>
        <w:rPr>
          <w:rFonts w:hint="eastAsia" w:ascii="黑体" w:hAnsi="黑体" w:eastAsia="黑体" w:cs="黑体"/>
          <w:bCs/>
          <w:color w:val="auto"/>
          <w:szCs w:val="21"/>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合同金额的1%/次的违约金，并在发包人要求期限内整改，发包人有权上报主管部门。</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6.1.2 关于治安保卫的特别约定：</w:t>
      </w:r>
      <w:r>
        <w:rPr>
          <w:rFonts w:hint="eastAsia" w:ascii="黑体" w:hAnsi="黑体" w:eastAsia="黑体" w:cs="黑体"/>
          <w:color w:val="auto"/>
          <w:szCs w:val="21"/>
          <w:highlight w:val="none"/>
          <w:u w:val="single"/>
        </w:rPr>
        <w:t xml:space="preserve">  执行通用条款   </w:t>
      </w:r>
      <w:r>
        <w:rPr>
          <w:rFonts w:hint="eastAsia" w:ascii="黑体" w:hAnsi="黑体" w:eastAsia="黑体" w:cs="黑体"/>
          <w:color w:val="auto"/>
          <w:szCs w:val="21"/>
          <w:highlight w:val="none"/>
        </w:rPr>
        <w:t xml:space="preserve">。</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关于编制施工场地治安管理计划的约定：</w:t>
      </w:r>
      <w:r>
        <w:rPr>
          <w:rFonts w:hint="eastAsia" w:ascii="黑体" w:hAnsi="黑体" w:eastAsia="黑体" w:cs="黑体"/>
          <w:color w:val="auto"/>
          <w:szCs w:val="21"/>
          <w:highlight w:val="none"/>
          <w:u w:val="single"/>
        </w:rPr>
        <w:t xml:space="preserve">开工通知载明的开工日期7天前提交施工场地治安管理计划</w:t>
      </w:r>
      <w:r>
        <w:rPr>
          <w:rFonts w:hint="eastAsia" w:ascii="黑体" w:hAnsi="黑体" w:eastAsia="黑体" w:cs="黑体"/>
          <w:color w:val="auto"/>
          <w:szCs w:val="21"/>
          <w:highlight w:val="none"/>
        </w:rPr>
        <w:t xml:space="preserve">。</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6.1.3 文明施工</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rPr>
        <w:t xml:space="preserve">合同当事人对文明施工的要求：</w:t>
      </w:r>
      <w:r>
        <w:rPr>
          <w:rFonts w:hint="eastAsia" w:ascii="黑体" w:hAnsi="黑体" w:eastAsia="黑体" w:cs="黑体"/>
          <w:color w:val="auto"/>
          <w:szCs w:val="21"/>
          <w:highlight w:val="none"/>
          <w:u w:val="single"/>
        </w:rPr>
        <w:t xml:space="preserve"> 符合徐州市有关部门规定的标准化施工现场要求，同时应满足市政、市容等相关主管部门的有关规定。承包人按当地有关主管部门的规定办理相关手续，并承担相应费用，同时以书面形式通知发包人，承担施工过程中因自身原因造成的罚款。</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按照《中华人民共和国大气污染防治法》《中华人民共和国噪声污染防治法》《中华人民共和国固体废物污染环境防治法》等法律法规的要求，制定并落实扬尘、噪声、固体废物等</w:t>
      </w:r>
      <w:r>
        <w:rPr>
          <w:rFonts w:hint="eastAsia" w:ascii="黑体" w:hAnsi="黑体" w:eastAsia="黑体" w:cs="黑体"/>
          <w:color w:val="auto"/>
          <w:szCs w:val="21"/>
          <w:highlight w:val="none"/>
          <w:u w:val="single"/>
        </w:rPr>
        <w:t xml:space="preserve">污染防治措施；开工前15日向项目所在地生态环境、城市管理等部门进行排污申报；道路施工工地一律实行封闭施工、施工便道硬化、防尘网覆盖、定时洒水等控制扬尘污染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噪声污染等及其他给发包人带来不利影响或出现群众投诉举报造成不良后果的，每查实一次向发包人支付20000元违约金；造成损失的，由承包人承担。</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本工程位于市区，承包人必须充分考虑养护施工涉及的地方关系、交通协调等情况，及时与交通、公安部门协调，采取足够的交通疏导措施，保持施工期间交通通行，不得全封闭交通，并按要求设置围挡和安全标识；制定运输计划时，应充分考虑现有道路承运能力，避开高峰时段；施工机械设备不得停放在通行道路上。</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承包人不得以现场增加投入、赶工等借口拖延工期或申请追加合同金额，否则视为违约。</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养护完成当日彻底清洁完毕撤离现场。</w:t>
      </w:r>
      <w:r/>
    </w:p>
    <w:p>
      <w:pPr>
        <w:ind w:firstLine="422"/>
        <w:spacing w:line="360" w:lineRule="auto"/>
        <w:widowControl/>
        <w:rPr>
          <w:rFonts w:hint="eastAsia" w:ascii="黑体" w:hAnsi="黑体" w:eastAsia="黑体" w:cs="黑体"/>
          <w:b/>
          <w:color w:val="auto"/>
          <w:szCs w:val="21"/>
          <w:highlight w:val="none"/>
          <w:u w:val="single"/>
        </w:rPr>
      </w:pPr>
      <w:r>
        <w:rPr>
          <w:rFonts w:hint="eastAsia" w:ascii="黑体" w:hAnsi="黑体" w:eastAsia="黑体" w:cs="黑体"/>
          <w:b/>
          <w:color w:val="auto"/>
          <w:szCs w:val="21"/>
          <w:highlight w:val="none"/>
          <w:u w:val="single"/>
        </w:rPr>
        <w:t xml:space="preserve">因扬尘治理、噪声污染防治等环境保护措施未落实或者未达标准，乙方向甲方支付每次20000元的违约金。</w:t>
      </w:r>
      <w:r/>
    </w:p>
    <w:p>
      <w:pPr>
        <w:ind w:firstLine="422"/>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b/>
          <w:color w:val="auto"/>
          <w:szCs w:val="21"/>
          <w:highlight w:val="none"/>
          <w:u w:val="single"/>
        </w:rPr>
        <w:t xml:space="preserve">文明施工相关法律、标准和规范的其他要求。</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rPr>
        <w:t xml:space="preserve">6.1.4 关于安全文明施工费支付比例和支付期限的约定：</w:t>
      </w:r>
      <w:r>
        <w:rPr>
          <w:rFonts w:hint="eastAsia" w:ascii="黑体" w:hAnsi="黑体" w:eastAsia="黑体" w:cs="黑体"/>
          <w:color w:val="auto"/>
          <w:szCs w:val="21"/>
          <w:highlight w:val="none"/>
          <w:u w:val="single"/>
        </w:rPr>
        <w:t xml:space="preserve">合同价款中已含，与合同价款同期支付。</w:t>
      </w:r>
      <w:r/>
    </w:p>
    <w:p>
      <w:pPr>
        <w:jc w:val="both"/>
        <w:keepLines/>
        <w:keepNext/>
        <w:spacing w:before="0" w:after="0" w:line="360" w:lineRule="auto"/>
        <w:rPr>
          <w:rFonts w:hint="eastAsia" w:ascii="黑体" w:hAnsi="黑体" w:eastAsia="黑体" w:cs="黑体"/>
          <w:b w:val="0"/>
          <w:bCs/>
          <w:color w:val="auto"/>
          <w:sz w:val="21"/>
          <w:szCs w:val="21"/>
          <w:highlight w:val="none"/>
          <w:lang w:val="en-US" w:eastAsia="zh-CN" w:bidi="ar-SA"/>
        </w:rPr>
        <w:outlineLvl w:val="9"/>
      </w:pPr>
      <w:r>
        <w:rPr>
          <w:rFonts w:hint="eastAsia" w:ascii="黑体" w:hAnsi="黑体" w:eastAsia="黑体" w:cs="黑体"/>
          <w:b w:val="0"/>
          <w:bCs/>
          <w:color w:val="auto"/>
          <w:sz w:val="21"/>
          <w:szCs w:val="21"/>
          <w:highlight w:val="none"/>
          <w:lang w:val="en-US" w:eastAsia="zh-CN" w:bidi="ar-SA"/>
        </w:rPr>
        <w:t xml:space="preserve">7. 工期和进度</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7.1 施工组织设计</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rPr>
        <w:t xml:space="preserve">7.1.1 合同当事人约定的施工组织设计应包括的其他内容：</w:t>
      </w:r>
      <w:r>
        <w:rPr>
          <w:rFonts w:hint="eastAsia" w:ascii="黑体" w:hAnsi="黑体" w:eastAsia="黑体" w:cs="黑体"/>
          <w:color w:val="auto"/>
          <w:szCs w:val="21"/>
          <w:highlight w:val="none"/>
          <w:u w:val="single"/>
        </w:rPr>
        <w:t xml:space="preserve">执行通用条款 。</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7.1.2 施工组织设计的提交和修改</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承包人提交详细施工组织设计的期限的约定：</w:t>
      </w:r>
      <w:r/>
    </w:p>
    <w:p>
      <w:pPr>
        <w:ind w:firstLine="420"/>
        <w:spacing w:line="360" w:lineRule="auto"/>
        <w:widowControl/>
        <w:rPr>
          <w:rFonts w:hint="eastAsia" w:ascii="黑体" w:hAnsi="黑体" w:eastAsia="黑体" w:cs="黑体"/>
          <w:bCs/>
          <w:color w:val="auto"/>
          <w:szCs w:val="21"/>
          <w:highlight w:val="none"/>
          <w:u w:val="single"/>
        </w:rPr>
      </w:pPr>
      <w:r>
        <w:rPr>
          <w:rFonts w:hint="eastAsia" w:ascii="黑体" w:hAnsi="黑体" w:eastAsia="黑体" w:cs="黑体"/>
          <w:bCs/>
          <w:color w:val="auto"/>
          <w:szCs w:val="21"/>
          <w:highlight w:val="none"/>
          <w:u w:val="single"/>
        </w:rPr>
        <w:t xml:space="preserve">承包人在收到设计施工图后，应在7日（小型项目2日；较大项目5日；大型复杂项目7日）内做出详细的施工组织设计。</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发包人和监理人在收到详细的施工组织设计后确认或提出修改意见的期限：</w:t>
      </w:r>
      <w:r>
        <w:rPr>
          <w:rFonts w:hint="eastAsia" w:ascii="黑体" w:hAnsi="黑体" w:eastAsia="黑体" w:cs="黑体"/>
          <w:color w:val="auto"/>
          <w:szCs w:val="21"/>
          <w:highlight w:val="none"/>
          <w:u w:val="single"/>
        </w:rPr>
        <w:t xml:space="preserve">  收到后7天内  </w:t>
      </w:r>
      <w:r>
        <w:rPr>
          <w:rFonts w:hint="eastAsia" w:ascii="黑体" w:hAnsi="黑体" w:eastAsia="黑体" w:cs="黑体"/>
          <w:color w:val="auto"/>
          <w:szCs w:val="21"/>
          <w:highlight w:val="none"/>
        </w:rPr>
        <w:t xml:space="preserve">。</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7.2 施工进度计划</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7.2.2 施工进度计划的修订</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rPr>
        <w:t xml:space="preserve">发包人和监理人在收到修订的施工进度计划后确认或提出修改意见的期限：</w:t>
      </w:r>
      <w:r>
        <w:rPr>
          <w:rFonts w:hint="eastAsia" w:ascii="黑体" w:hAnsi="黑体" w:eastAsia="黑体" w:cs="黑体"/>
          <w:color w:val="auto"/>
          <w:szCs w:val="21"/>
          <w:highlight w:val="none"/>
          <w:u w:val="single"/>
        </w:rPr>
        <w:t xml:space="preserve"> 收到后7天</w:t>
      </w:r>
      <w:r>
        <w:rPr>
          <w:rFonts w:hint="eastAsia" w:ascii="黑体" w:hAnsi="黑体" w:eastAsia="黑体" w:cs="黑体"/>
          <w:bCs/>
          <w:color w:val="auto"/>
          <w:szCs w:val="21"/>
          <w:highlight w:val="none"/>
          <w:u w:val="single"/>
        </w:rPr>
        <w:t xml:space="preserve">（小型项目2日；较大项目5日；大型复杂项目7日）</w:t>
      </w:r>
      <w:r>
        <w:rPr>
          <w:rFonts w:hint="eastAsia" w:ascii="黑体" w:hAnsi="黑体" w:eastAsia="黑体" w:cs="黑体"/>
          <w:color w:val="auto"/>
          <w:szCs w:val="21"/>
          <w:highlight w:val="none"/>
          <w:u w:val="single"/>
        </w:rPr>
        <w:t xml:space="preserve">内。 </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7.3 开工</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7.3.1 开工准备</w:t>
      </w:r>
      <w:r/>
    </w:p>
    <w:p>
      <w:pPr>
        <w:ind w:firstLine="645"/>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rPr>
        <w:t xml:space="preserve">关于承包人提交工程开工报审表的期限：</w:t>
      </w:r>
      <w:r>
        <w:rPr>
          <w:rFonts w:hint="eastAsia" w:ascii="黑体" w:hAnsi="黑体" w:eastAsia="黑体" w:cs="黑体"/>
          <w:color w:val="auto"/>
          <w:szCs w:val="21"/>
          <w:highlight w:val="none"/>
          <w:u w:val="single"/>
        </w:rPr>
        <w:t xml:space="preserve"> 合同签订后、开工前。</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关于发包人应完成的其他开工准备工作及期限：</w:t>
      </w:r>
      <w:r>
        <w:rPr>
          <w:rFonts w:hint="eastAsia" w:ascii="黑体" w:hAnsi="黑体" w:eastAsia="黑体" w:cs="黑体"/>
          <w:color w:val="auto"/>
          <w:szCs w:val="21"/>
          <w:highlight w:val="none"/>
          <w:u w:val="single"/>
        </w:rPr>
        <w:t xml:space="preserve"> 执行通用条款 </w:t>
      </w:r>
      <w:r>
        <w:rPr>
          <w:rFonts w:hint="eastAsia" w:ascii="黑体" w:hAnsi="黑体" w:eastAsia="黑体" w:cs="黑体"/>
          <w:color w:val="auto"/>
          <w:szCs w:val="21"/>
          <w:highlight w:val="none"/>
        </w:rPr>
        <w:t xml:space="preserve">。</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关于承包人应完成的其他开工准备工作及期限：</w:t>
      </w:r>
      <w:r>
        <w:rPr>
          <w:rFonts w:hint="eastAsia" w:ascii="黑体" w:hAnsi="黑体" w:eastAsia="黑体" w:cs="黑体"/>
          <w:color w:val="auto"/>
          <w:szCs w:val="21"/>
          <w:highlight w:val="none"/>
          <w:u w:val="single"/>
        </w:rPr>
        <w:t xml:space="preserve">  执行通用条款 </w:t>
      </w:r>
      <w:r>
        <w:rPr>
          <w:rFonts w:hint="eastAsia" w:ascii="黑体" w:hAnsi="黑体" w:eastAsia="黑体" w:cs="黑体"/>
          <w:color w:val="auto"/>
          <w:szCs w:val="21"/>
          <w:highlight w:val="none"/>
        </w:rPr>
        <w:t xml:space="preserve">。</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7.3.2开工通知</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因发包人原因造成监理人未能在计划开工日期之日起</w:t>
      </w:r>
      <w:r>
        <w:rPr>
          <w:rFonts w:hint="eastAsia" w:ascii="黑体" w:hAnsi="黑体" w:eastAsia="黑体" w:cs="黑体"/>
          <w:color w:val="auto"/>
          <w:szCs w:val="21"/>
          <w:highlight w:val="none"/>
          <w:u w:val="single"/>
        </w:rPr>
        <w:t xml:space="preserve"> 60 </w:t>
      </w:r>
      <w:r>
        <w:rPr>
          <w:rFonts w:hint="eastAsia" w:ascii="黑体" w:hAnsi="黑体" w:eastAsia="黑体" w:cs="黑体"/>
          <w:color w:val="auto"/>
          <w:szCs w:val="21"/>
          <w:highlight w:val="none"/>
        </w:rPr>
        <w:t xml:space="preserve">天内发出开工通知的，承包人有权提出价格调整要求，或者解除合同。</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7.4 测量放线</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rPr>
        <w:t xml:space="preserve">7.4.1发包人通过监理人向承包人提供测量基准点、基准线和水准点及其书面资料的期限：</w:t>
      </w:r>
      <w:r>
        <w:rPr>
          <w:rFonts w:hint="eastAsia" w:ascii="黑体" w:hAnsi="黑体" w:eastAsia="黑体" w:cs="黑体"/>
          <w:color w:val="auto"/>
          <w:szCs w:val="21"/>
          <w:highlight w:val="none"/>
          <w:u w:val="single"/>
        </w:rPr>
        <w:t xml:space="preserve">执行通用条款</w:t>
      </w:r>
      <w:r>
        <w:rPr>
          <w:rFonts w:hint="eastAsia" w:ascii="黑体" w:hAnsi="黑体" w:eastAsia="黑体" w:cs="黑体"/>
          <w:color w:val="auto"/>
          <w:szCs w:val="21"/>
          <w:highlight w:val="none"/>
        </w:rPr>
        <w:t xml:space="preserve">。</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7.5 工期延误</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7.5.1 因发包人原因导致工期延误</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因发包人原因导致工期延误的其他情形：</w:t>
      </w:r>
      <w:r>
        <w:rPr>
          <w:rFonts w:hint="eastAsia" w:ascii="黑体" w:hAnsi="黑体" w:eastAsia="黑体" w:cs="黑体"/>
          <w:color w:val="auto"/>
          <w:szCs w:val="21"/>
          <w:highlight w:val="none"/>
          <w:u w:val="single"/>
        </w:rPr>
        <w:t xml:space="preserve">  执行通用条款  </w:t>
      </w:r>
      <w:r>
        <w:rPr>
          <w:rFonts w:hint="eastAsia" w:ascii="黑体" w:hAnsi="黑体" w:eastAsia="黑体" w:cs="黑体"/>
          <w:color w:val="auto"/>
          <w:szCs w:val="21"/>
          <w:highlight w:val="none"/>
        </w:rPr>
        <w:t xml:space="preserve">。</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7.5.2 因承包人原因导致工期延误</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rPr>
        <w:t xml:space="preserve">因承包人原因造成工期延误，逾期竣工违约金的计算方法为：</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经批准的施工组织设计的节点工期每延误一天，由承包人向发包人按工程结算价款的2%/天支付违约金，包人有权采取任何补救措施来弥补该延误，由此增加的费用由承包人承担 。</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施工过程中故意拖延工期、故意不按计划进度施工的，向发包人支付合同总价款10%的违约金。</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因承包人原因造成工期延误，逾期竣工违约金的上限：</w:t>
      </w:r>
      <w:r>
        <w:rPr>
          <w:rFonts w:hint="eastAsia" w:ascii="黑体" w:hAnsi="黑体" w:eastAsia="黑体" w:cs="黑体"/>
          <w:color w:val="auto"/>
          <w:szCs w:val="21"/>
          <w:highlight w:val="none"/>
          <w:u w:val="single"/>
        </w:rPr>
        <w:t xml:space="preserve">工程结算价款的20% 。</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7.6 不利物质条件</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不利物质条件的其他情形和有关约定：</w:t>
      </w:r>
      <w:r>
        <w:rPr>
          <w:rFonts w:hint="eastAsia" w:ascii="黑体" w:hAnsi="黑体" w:eastAsia="黑体" w:cs="黑体"/>
          <w:color w:val="auto"/>
          <w:szCs w:val="21"/>
          <w:highlight w:val="none"/>
          <w:u w:val="single"/>
        </w:rPr>
        <w:t xml:space="preserve">   执行通用条款   </w:t>
      </w:r>
      <w:r>
        <w:rPr>
          <w:rFonts w:hint="eastAsia" w:ascii="黑体" w:hAnsi="黑体" w:eastAsia="黑体" w:cs="黑体"/>
          <w:color w:val="auto"/>
          <w:szCs w:val="21"/>
          <w:highlight w:val="none"/>
        </w:rPr>
        <w:t xml:space="preserve">。</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7.7异常恶劣的气候条件</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发包人和承包人同意以下情形视为异常恶劣的气候条件：</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u w:val="single"/>
        </w:rPr>
        <w:t xml:space="preserve">    执行通用条款    </w:t>
      </w:r>
      <w:r>
        <w:rPr>
          <w:rFonts w:hint="eastAsia" w:ascii="黑体" w:hAnsi="黑体" w:eastAsia="黑体" w:cs="黑体"/>
          <w:color w:val="auto"/>
          <w:szCs w:val="21"/>
          <w:highlight w:val="none"/>
        </w:rPr>
        <w:t xml:space="preserve">。</w:t>
      </w:r>
      <w:r/>
    </w:p>
    <w:p>
      <w:pPr>
        <w:jc w:val="both"/>
        <w:keepLines/>
        <w:keepNext/>
        <w:spacing w:before="0" w:after="0" w:line="360" w:lineRule="auto"/>
        <w:rPr>
          <w:rFonts w:hint="eastAsia" w:ascii="黑体" w:hAnsi="黑体" w:eastAsia="黑体" w:cs="黑体"/>
          <w:b w:val="0"/>
          <w:bCs/>
          <w:color w:val="auto"/>
          <w:sz w:val="21"/>
          <w:szCs w:val="21"/>
          <w:highlight w:val="none"/>
          <w:lang w:val="en-US" w:eastAsia="zh-CN" w:bidi="ar-SA"/>
        </w:rPr>
        <w:outlineLvl w:val="9"/>
      </w:pPr>
      <w:r>
        <w:rPr>
          <w:rFonts w:hint="eastAsia" w:ascii="黑体" w:hAnsi="黑体" w:eastAsia="黑体" w:cs="黑体"/>
          <w:b w:val="0"/>
          <w:bCs/>
          <w:color w:val="auto"/>
          <w:sz w:val="21"/>
          <w:szCs w:val="21"/>
          <w:highlight w:val="none"/>
          <w:lang w:val="en-US" w:eastAsia="zh-CN" w:bidi="ar-SA"/>
        </w:rPr>
        <w:t xml:space="preserve">8. 材料与设备</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8.4材料与工程设备的保管与使用</w:t>
      </w:r>
      <w:r/>
    </w:p>
    <w:p>
      <w:pPr>
        <w:ind w:firstLine="420"/>
        <w:spacing w:line="360" w:lineRule="auto"/>
        <w:widowControl/>
        <w:rPr>
          <w:rFonts w:hint="eastAsia" w:ascii="黑体" w:hAnsi="黑体" w:eastAsia="黑体" w:cs="黑体"/>
          <w:bCs/>
          <w:color w:val="auto"/>
          <w:szCs w:val="21"/>
          <w:highlight w:val="none"/>
          <w:u w:val="single"/>
        </w:rPr>
      </w:pPr>
      <w:r>
        <w:rPr>
          <w:rFonts w:hint="eastAsia" w:ascii="黑体" w:hAnsi="黑体" w:eastAsia="黑体" w:cs="黑体"/>
          <w:color w:val="auto"/>
          <w:szCs w:val="21"/>
          <w:highlight w:val="none"/>
        </w:rPr>
        <w:t xml:space="preserve">8.4.1发包人供应的材料设备的保管费用的承担：</w:t>
      </w:r>
      <w:r>
        <w:rPr>
          <w:rFonts w:hint="eastAsia" w:ascii="黑体" w:hAnsi="黑体" w:eastAsia="黑体" w:cs="黑体"/>
          <w:bCs/>
          <w:color w:val="auto"/>
          <w:szCs w:val="21"/>
          <w:highlight w:val="none"/>
          <w:u w:val="single"/>
        </w:rPr>
        <w:t xml:space="preserve">本工程无甲供材，所有材料均由承包人自行采购。</w:t>
      </w:r>
      <w:r/>
    </w:p>
    <w:p>
      <w:pPr>
        <w:ind w:firstLine="420"/>
        <w:spacing w:line="360" w:lineRule="auto"/>
        <w:widowControl/>
        <w:rPr>
          <w:rFonts w:hint="eastAsia" w:ascii="黑体" w:hAnsi="黑体" w:eastAsia="黑体" w:cs="黑体"/>
          <w:color w:val="auto"/>
          <w:szCs w:val="21"/>
          <w:highlight w:val="none"/>
        </w:rPr>
        <w:outlineLvl w:val="9"/>
      </w:pPr>
      <w:r>
        <w:rPr>
          <w:rFonts w:hint="eastAsia" w:ascii="黑体" w:hAnsi="黑体" w:eastAsia="黑体" w:cs="黑体"/>
          <w:color w:val="auto"/>
          <w:szCs w:val="21"/>
          <w:highlight w:val="none"/>
        </w:rPr>
        <w:t xml:space="preserve">8.6 样品</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8.6.1样品的报送与封存</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rPr>
        <w:t xml:space="preserve">需要承包人报送样品的材料或工程设备，样品的种类、名称、规格、数量要求：</w:t>
      </w:r>
      <w:r>
        <w:rPr>
          <w:rFonts w:hint="eastAsia" w:ascii="黑体" w:hAnsi="黑体" w:eastAsia="黑体" w:cs="黑体"/>
          <w:color w:val="auto"/>
          <w:szCs w:val="21"/>
          <w:highlight w:val="none"/>
          <w:u w:val="single"/>
        </w:rPr>
        <w:t xml:space="preserve">本工程如有材料均需报送样品，具体以监理通知为准 </w:t>
      </w: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u w:val="single"/>
        </w:rPr>
        <w:t xml:space="preserve">样品不得另行收取费用。</w:t>
      </w:r>
      <w:r/>
    </w:p>
    <w:p>
      <w:pPr>
        <w:ind w:firstLine="420"/>
        <w:spacing w:line="360" w:lineRule="auto"/>
        <w:widowControl/>
        <w:rPr>
          <w:rFonts w:hint="eastAsia" w:ascii="黑体" w:hAnsi="黑体" w:eastAsia="黑体" w:cs="黑体"/>
          <w:color w:val="auto"/>
          <w:szCs w:val="21"/>
          <w:highlight w:val="none"/>
        </w:rPr>
        <w:outlineLvl w:val="9"/>
      </w:pPr>
      <w:r>
        <w:rPr>
          <w:rFonts w:hint="eastAsia" w:ascii="黑体" w:hAnsi="黑体" w:eastAsia="黑体" w:cs="黑体"/>
          <w:color w:val="auto"/>
          <w:szCs w:val="21"/>
          <w:highlight w:val="none"/>
        </w:rPr>
        <w:t xml:space="preserve">8.8 施工设备和临时设施</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8.8.1 承包人提供的施工设备和临时设施</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关于修建临时设施费用承担的约定：</w:t>
      </w:r>
      <w:r>
        <w:rPr>
          <w:rFonts w:hint="eastAsia" w:ascii="黑体" w:hAnsi="黑体" w:eastAsia="黑体" w:cs="黑体"/>
          <w:color w:val="auto"/>
          <w:szCs w:val="21"/>
          <w:highlight w:val="none"/>
          <w:u w:val="single"/>
        </w:rPr>
        <w:t xml:space="preserve">除法律规定由发包人承担的内容外，承包人自行承担修建临时设施和使用施工设备的费用</w:t>
      </w:r>
      <w:r>
        <w:rPr>
          <w:rFonts w:hint="eastAsia" w:ascii="黑体" w:hAnsi="黑体" w:eastAsia="黑体" w:cs="黑体"/>
          <w:color w:val="auto"/>
          <w:szCs w:val="21"/>
          <w:highlight w:val="none"/>
        </w:rPr>
        <w:t xml:space="preserve">。</w:t>
      </w:r>
      <w:r/>
    </w:p>
    <w:p>
      <w:pPr>
        <w:jc w:val="both"/>
        <w:keepLines/>
        <w:keepNext/>
        <w:spacing w:before="0" w:after="0" w:line="360" w:lineRule="auto"/>
        <w:rPr>
          <w:rFonts w:hint="eastAsia" w:ascii="黑体" w:hAnsi="黑体" w:eastAsia="黑体" w:cs="黑体"/>
          <w:b w:val="0"/>
          <w:bCs/>
          <w:color w:val="auto"/>
          <w:sz w:val="21"/>
          <w:szCs w:val="21"/>
          <w:highlight w:val="none"/>
          <w:lang w:val="en-US" w:eastAsia="zh-CN" w:bidi="ar-SA"/>
        </w:rPr>
        <w:outlineLvl w:val="9"/>
      </w:pPr>
      <w:r>
        <w:rPr>
          <w:rFonts w:hint="eastAsia" w:ascii="黑体" w:hAnsi="黑体" w:eastAsia="黑体" w:cs="黑体"/>
          <w:b w:val="0"/>
          <w:bCs/>
          <w:color w:val="auto"/>
          <w:sz w:val="21"/>
          <w:szCs w:val="21"/>
          <w:highlight w:val="none"/>
          <w:lang w:val="en-US" w:eastAsia="zh-CN" w:bidi="ar-SA"/>
        </w:rPr>
        <w:t xml:space="preserve">9. 试验与检验</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9.1试验设备与试验人员</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9.1.2 试验设备</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rPr>
        <w:t xml:space="preserve">施工现场需要配置的试验场所：</w:t>
      </w:r>
      <w:r>
        <w:rPr>
          <w:rFonts w:hint="eastAsia" w:ascii="黑体" w:hAnsi="黑体" w:eastAsia="黑体" w:cs="黑体"/>
          <w:color w:val="auto"/>
          <w:szCs w:val="21"/>
          <w:highlight w:val="none"/>
          <w:u w:val="single"/>
        </w:rPr>
        <w:t xml:space="preserve"> 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ind w:firstLine="420"/>
        <w:spacing w:line="360" w:lineRule="auto"/>
        <w:widowControl/>
        <w:rPr>
          <w:rFonts w:hint="eastAsia" w:ascii="黑体" w:hAnsi="黑体" w:eastAsia="黑体" w:cs="黑体"/>
          <w:color w:val="auto"/>
          <w:szCs w:val="21"/>
          <w:highlight w:val="none"/>
        </w:rPr>
        <w:outlineLvl w:val="9"/>
      </w:pPr>
      <w:r>
        <w:rPr>
          <w:rFonts w:hint="eastAsia" w:ascii="黑体" w:hAnsi="黑体" w:eastAsia="黑体" w:cs="黑体"/>
          <w:color w:val="auto"/>
          <w:szCs w:val="21"/>
          <w:highlight w:val="none"/>
        </w:rPr>
        <w:t xml:space="preserve">9.4 现场工艺试验 </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现场工艺试验的有关约定：</w:t>
      </w:r>
      <w:r>
        <w:rPr>
          <w:rFonts w:hint="eastAsia" w:ascii="黑体" w:hAnsi="黑体" w:eastAsia="黑体" w:cs="黑体"/>
          <w:color w:val="auto"/>
          <w:szCs w:val="21"/>
          <w:highlight w:val="none"/>
          <w:u w:val="single"/>
        </w:rPr>
        <w:t xml:space="preserve">按现场监理通知执行   </w:t>
      </w:r>
      <w:r>
        <w:rPr>
          <w:rFonts w:hint="eastAsia" w:ascii="黑体" w:hAnsi="黑体" w:eastAsia="黑体" w:cs="黑体"/>
          <w:color w:val="auto"/>
          <w:szCs w:val="21"/>
          <w:highlight w:val="none"/>
        </w:rPr>
        <w:t xml:space="preserve">。</w:t>
      </w:r>
      <w:r/>
    </w:p>
    <w:p>
      <w:pPr>
        <w:jc w:val="both"/>
        <w:keepLines/>
        <w:keepNext/>
        <w:spacing w:before="0" w:after="0" w:line="360" w:lineRule="auto"/>
        <w:rPr>
          <w:rFonts w:hint="eastAsia" w:ascii="黑体" w:hAnsi="黑体" w:eastAsia="黑体" w:cs="黑体"/>
          <w:b w:val="0"/>
          <w:bCs/>
          <w:color w:val="auto"/>
          <w:sz w:val="21"/>
          <w:szCs w:val="21"/>
          <w:highlight w:val="none"/>
          <w:lang w:val="en-US" w:eastAsia="zh-CN" w:bidi="ar-SA"/>
        </w:rPr>
        <w:outlineLvl w:val="9"/>
      </w:pPr>
      <w:r>
        <w:rPr>
          <w:rFonts w:hint="eastAsia" w:ascii="黑体" w:hAnsi="黑体" w:eastAsia="黑体" w:cs="黑体"/>
          <w:b w:val="0"/>
          <w:bCs/>
          <w:color w:val="auto"/>
          <w:sz w:val="21"/>
          <w:szCs w:val="21"/>
          <w:highlight w:val="none"/>
          <w:lang w:val="en-US" w:eastAsia="zh-CN" w:bidi="ar-SA"/>
        </w:rPr>
        <w:t xml:space="preserve">10. 变更</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10.1变更的范围</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rPr>
        <w:t xml:space="preserve">关于变更的范围的约定：</w:t>
      </w:r>
      <w:r>
        <w:rPr>
          <w:rFonts w:hint="eastAsia" w:ascii="黑体" w:hAnsi="黑体" w:eastAsia="黑体" w:cs="黑体"/>
          <w:color w:val="auto"/>
          <w:szCs w:val="21"/>
          <w:highlight w:val="none"/>
          <w:u w:val="single"/>
        </w:rPr>
        <w:t xml:space="preserve">执行通用条款  </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u w:val="single"/>
        </w:rPr>
        <w:t xml:space="preserve">承包人根据发包人书面确认的变更文件予以变更。变更文件中须明确原做法、变更后做法及工艺、材料名称、规格、品牌、尺寸等，标注要清晰 </w:t>
      </w:r>
      <w:r>
        <w:rPr>
          <w:rFonts w:hint="eastAsia" w:ascii="黑体" w:hAnsi="黑体" w:eastAsia="黑体" w:cs="黑体"/>
          <w:color w:val="auto"/>
          <w:szCs w:val="21"/>
          <w:highlight w:val="none"/>
        </w:rPr>
        <w:t xml:space="preserve">。</w:t>
      </w:r>
      <w:r/>
    </w:p>
    <w:p>
      <w:pPr>
        <w:ind w:firstLine="420"/>
        <w:spacing w:line="360" w:lineRule="auto"/>
        <w:widowControl/>
        <w:rPr>
          <w:rFonts w:hint="eastAsia" w:ascii="黑体" w:hAnsi="黑体" w:eastAsia="黑体" w:cs="黑体"/>
          <w:color w:val="auto"/>
          <w:szCs w:val="21"/>
          <w:highlight w:val="none"/>
        </w:rPr>
        <w:outlineLvl w:val="9"/>
      </w:pPr>
      <w:r>
        <w:rPr>
          <w:rFonts w:hint="eastAsia" w:ascii="黑体" w:hAnsi="黑体" w:eastAsia="黑体" w:cs="黑体"/>
          <w:color w:val="auto"/>
          <w:szCs w:val="21"/>
          <w:highlight w:val="none"/>
        </w:rPr>
        <w:t xml:space="preserve">10.2 变更估价</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10.2.1 变更估价原则</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关于变更估价的约定: </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10.2.1.1现场养护所需新增工程量清单项目，其相应综合单价按本</w:t>
      </w:r>
      <w:r>
        <w:rPr>
          <w:rFonts w:hint="eastAsia" w:ascii="黑体" w:hAnsi="黑体" w:eastAsia="黑体" w:cs="黑体"/>
          <w:color w:val="auto"/>
          <w:szCs w:val="21"/>
          <w:highlight w:val="none"/>
          <w:u w:val="single"/>
          <w:lang w:eastAsia="zh-CN"/>
        </w:rPr>
        <w:t xml:space="preserve">磋商文件</w:t>
      </w:r>
      <w:r>
        <w:rPr>
          <w:rFonts w:hint="eastAsia" w:ascii="黑体" w:hAnsi="黑体" w:eastAsia="黑体" w:cs="黑体"/>
          <w:color w:val="auto"/>
          <w:szCs w:val="21"/>
          <w:highlight w:val="none"/>
          <w:u w:val="single"/>
        </w:rPr>
        <w:t xml:space="preserve">规定的最高投标限价计价编制办法计算，再乘以中标价与最高投标限价相比的浮动比率后作为综合单价进行结算。以上变更及工程量签证，必须由发、承包双方、现场监理工程师共同确认。</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rPr>
        <w:t xml:space="preserve">10.2.1.4</w:t>
      </w:r>
      <w:r>
        <w:rPr>
          <w:rFonts w:hint="eastAsia" w:ascii="黑体" w:hAnsi="黑体" w:eastAsia="黑体" w:cs="黑体"/>
          <w:color w:val="auto"/>
          <w:szCs w:val="21"/>
          <w:highlight w:val="none"/>
          <w:u w:val="single"/>
        </w:rPr>
        <w:t xml:space="preserve">以上10.2.1.1条以外原因引起的价款调整按照以下方法处理：</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（1）有类似单价的，参照类似单价；</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（2）没有类似单价的，按照变更发生前一个月的《徐州工程造价信息》中相应的材料价格和相应的定额计价，同时按照中标价与最高投标限价的整体下浮比率下浮；</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3）《徐州工程造价信息》中没有相应材料价格的，双方比价采购或者由招标人经招标确定价格后，计入相应的定额计价，但该部分材料价格不再参与下浮，其余部分按照中标价与最高投标限价的整体下浮比率下浮。</w:t>
      </w:r>
      <w:r/>
    </w:p>
    <w:p>
      <w:pPr>
        <w:jc w:val="both"/>
        <w:keepLines/>
        <w:keepNext/>
        <w:spacing w:before="0" w:after="0" w:line="360" w:lineRule="auto"/>
        <w:rPr>
          <w:rFonts w:hint="eastAsia" w:ascii="黑体" w:hAnsi="黑体" w:eastAsia="黑体" w:cs="黑体"/>
          <w:b w:val="0"/>
          <w:bCs/>
          <w:color w:val="auto"/>
          <w:sz w:val="21"/>
          <w:szCs w:val="21"/>
          <w:highlight w:val="none"/>
          <w:lang w:val="en-US" w:eastAsia="zh-CN" w:bidi="ar-SA"/>
        </w:rPr>
        <w:outlineLvl w:val="9"/>
      </w:pPr>
      <w:r>
        <w:rPr>
          <w:rFonts w:hint="eastAsia" w:ascii="黑体" w:hAnsi="黑体" w:eastAsia="黑体" w:cs="黑体"/>
          <w:b w:val="0"/>
          <w:bCs/>
          <w:color w:val="auto"/>
          <w:sz w:val="21"/>
          <w:szCs w:val="21"/>
          <w:highlight w:val="none"/>
          <w:lang w:val="en-US" w:eastAsia="zh-CN" w:bidi="ar-SA"/>
        </w:rPr>
        <w:t xml:space="preserve">11. 价格调整</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11.1 市场价格波动引起的调整</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市场价格波动是否调整合同价格的约定：</w:t>
      </w:r>
      <w:r>
        <w:rPr>
          <w:rFonts w:hint="eastAsia" w:ascii="黑体" w:hAnsi="黑体" w:eastAsia="黑体" w:cs="黑体"/>
          <w:color w:val="auto"/>
          <w:szCs w:val="21"/>
          <w:highlight w:val="none"/>
          <w:u w:val="single"/>
        </w:rPr>
        <w:t xml:space="preserve"> </w:t>
      </w:r>
      <w:r>
        <w:rPr>
          <w:rFonts w:hint="eastAsia" w:ascii="黑体" w:hAnsi="黑体" w:eastAsia="黑体" w:cs="黑体"/>
          <w:b/>
          <w:color w:val="auto"/>
          <w:szCs w:val="21"/>
          <w:highlight w:val="none"/>
          <w:u w:val="single"/>
        </w:rPr>
        <w:t xml:space="preserve">不予调整 </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11.2 对于法律、法规、规章或有关政策出台导致工程税金、规费等发生变化的，应按照有关规定执行。</w:t>
      </w:r>
      <w:r/>
    </w:p>
    <w:p>
      <w:pPr>
        <w:jc w:val="both"/>
        <w:keepLines/>
        <w:keepNext/>
        <w:spacing w:before="0" w:after="0" w:line="360" w:lineRule="auto"/>
        <w:rPr>
          <w:rFonts w:hint="eastAsia" w:ascii="黑体" w:hAnsi="黑体" w:eastAsia="黑体" w:cs="黑体"/>
          <w:b w:val="0"/>
          <w:color w:val="auto"/>
          <w:sz w:val="21"/>
          <w:szCs w:val="21"/>
          <w:highlight w:val="none"/>
          <w:lang w:val="en-US" w:eastAsia="zh-CN" w:bidi="ar-SA"/>
        </w:rPr>
        <w:outlineLvl w:val="9"/>
      </w:pPr>
      <w:r>
        <w:rPr>
          <w:rFonts w:hint="eastAsia" w:ascii="黑体" w:hAnsi="黑体" w:eastAsia="黑体" w:cs="黑体"/>
          <w:b w:val="0"/>
          <w:color w:val="auto"/>
          <w:sz w:val="21"/>
          <w:szCs w:val="21"/>
          <w:highlight w:val="none"/>
          <w:lang w:val="en-US" w:eastAsia="zh-CN" w:bidi="ar-SA"/>
        </w:rPr>
        <w:t xml:space="preserve">12. 合同价格、计量与支付</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12.1 合同价格形式</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1、单价合同。</w:t>
      </w:r>
      <w:r>
        <w:rPr>
          <w:rFonts w:hint="eastAsia" w:ascii="黑体" w:hAnsi="黑体" w:eastAsia="黑体" w:cs="黑体"/>
          <w:color w:val="auto"/>
          <w:szCs w:val="21"/>
          <w:highlight w:val="none"/>
          <w:u w:val="single"/>
        </w:rPr>
        <w:t xml:space="preserve">本工程综合单价在约定的风险范围内固定。</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综合单价包含的风险范围：</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①承包人应完全承担的是技术和管理风险，如管理费和利润、由于承包人使用机械设备、施工技术以及组织管理水平等自身原因造成施工费用增加的及施工期间各类市场风险等。</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②承包人建设标准高于发包人要求标准时引起多投入的费用已包含在合同价款中，不再另行增补。</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③</w:t>
      </w:r>
      <w:r>
        <w:rPr>
          <w:rFonts w:hint="eastAsia" w:ascii="黑体" w:hAnsi="黑体" w:eastAsia="黑体" w:cs="黑体"/>
          <w:color w:val="auto"/>
          <w:szCs w:val="21"/>
          <w:highlight w:val="none"/>
          <w:lang w:eastAsia="zh-CN"/>
        </w:rPr>
        <w:t xml:space="preserve">磋商文件</w:t>
      </w:r>
      <w:r>
        <w:rPr>
          <w:rFonts w:hint="eastAsia" w:ascii="黑体" w:hAnsi="黑体" w:eastAsia="黑体" w:cs="黑体"/>
          <w:color w:val="auto"/>
          <w:szCs w:val="21"/>
          <w:highlight w:val="none"/>
        </w:rPr>
        <w:t xml:space="preserve">及合同明确约定给予调整的情形外的其他一切风险。</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风险费用的计算方法、风险范围以外合同价格的调整方法约定如下：</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因市场价格波动引起的调整按第11.1款，因法律、政策引起的调整按第11.2款约定执行。</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12.2 预付款</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12.2.1 预付款的支付</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预付款支付比例或金额： </w:t>
      </w:r>
      <w:r>
        <w:rPr>
          <w:rFonts w:hint="eastAsia" w:ascii="黑体" w:hAnsi="黑体" w:eastAsia="黑体" w:cs="黑体"/>
          <w:color w:val="auto"/>
          <w:szCs w:val="21"/>
          <w:highlight w:val="none"/>
          <w:u w:val="single"/>
        </w:rPr>
        <w:t xml:space="preserve">     /     </w:t>
      </w:r>
      <w:r>
        <w:rPr>
          <w:rFonts w:hint="eastAsia" w:ascii="黑体" w:hAnsi="黑体" w:eastAsia="黑体" w:cs="黑体"/>
          <w:color w:val="auto"/>
          <w:szCs w:val="21"/>
          <w:highlight w:val="none"/>
        </w:rPr>
        <w:t xml:space="preserve">。</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预付款支付期限： </w:t>
      </w:r>
      <w:r>
        <w:rPr>
          <w:rFonts w:hint="eastAsia" w:ascii="黑体" w:hAnsi="黑体" w:eastAsia="黑体" w:cs="黑体"/>
          <w:color w:val="auto"/>
          <w:szCs w:val="21"/>
          <w:highlight w:val="none"/>
          <w:u w:val="single"/>
        </w:rPr>
        <w:t xml:space="preserve">     /    </w:t>
      </w:r>
      <w:r>
        <w:rPr>
          <w:rFonts w:hint="eastAsia" w:ascii="黑体" w:hAnsi="黑体" w:eastAsia="黑体" w:cs="黑体"/>
          <w:color w:val="auto"/>
          <w:szCs w:val="21"/>
          <w:highlight w:val="none"/>
        </w:rPr>
        <w:t xml:space="preserve">。</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预付款扣回的方式： </w:t>
      </w:r>
      <w:r>
        <w:rPr>
          <w:rFonts w:hint="eastAsia" w:ascii="黑体" w:hAnsi="黑体" w:eastAsia="黑体" w:cs="黑体"/>
          <w:color w:val="auto"/>
          <w:szCs w:val="21"/>
          <w:highlight w:val="none"/>
          <w:u w:val="single"/>
        </w:rPr>
        <w:t xml:space="preserve">     /    </w:t>
      </w:r>
      <w:r>
        <w:rPr>
          <w:rFonts w:hint="eastAsia" w:ascii="黑体" w:hAnsi="黑体" w:eastAsia="黑体" w:cs="黑体"/>
          <w:color w:val="auto"/>
          <w:szCs w:val="21"/>
          <w:highlight w:val="none"/>
        </w:rPr>
        <w:t xml:space="preserve">。</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12.3 计量</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12.3.1 计量原则</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本工程采用工程量清单方式计价，竣工结算的工程量按实际完成的工程量确定，完成发包人要求的合同以外的零星工作或发生非承包人责任事件的工程量按现场签证确定。</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rPr>
        <w:t xml:space="preserve">工程量计算规则：</w:t>
      </w:r>
      <w:r>
        <w:rPr>
          <w:rFonts w:hint="eastAsia" w:ascii="黑体" w:hAnsi="黑体" w:eastAsia="黑体" w:cs="黑体"/>
          <w:color w:val="auto"/>
          <w:szCs w:val="21"/>
          <w:highlight w:val="none"/>
          <w:u w:val="single"/>
        </w:rPr>
        <w:t xml:space="preserve">  执行现</w:t>
      </w:r>
      <w:r>
        <w:rPr>
          <w:rFonts w:hint="eastAsia" w:ascii="黑体" w:hAnsi="黑体" w:eastAsia="黑体" w:cs="黑体"/>
          <w:color w:val="auto"/>
          <w:szCs w:val="21"/>
          <w:highlight w:val="none"/>
          <w:u w:val="single"/>
        </w:rPr>
        <w:t xml:space="preserve">行国家标准《建设工程工程量清单计价规范》（GB50500-2013）、《市政工程工程量计算规范》（GB50857-2013）、《房屋建筑与装饰工程工程量计算规范》（GB50854-2013）、《通用安装工程工程量计算规范》（GB50856-2013）、《江苏省建筑与装饰工程计价定额》（2014）、《江苏省安装工程计价定额》（2014）、《江苏省建设工程费用定额》（2014）、苏建价〔2016〕154号《江苏省建设工程费用定额》（2014）、苏建函价〔2021〕062号等有关文件规定及招标人提供的工程量清单。</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12.3.2 计量周期</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12.3.3 单价合同的计量</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rPr>
        <w:t xml:space="preserve">关于单价合同计量的约定：</w:t>
      </w:r>
      <w:r>
        <w:rPr>
          <w:rFonts w:hint="eastAsia" w:ascii="黑体" w:hAnsi="黑体" w:eastAsia="黑体" w:cs="黑体"/>
          <w:color w:val="auto"/>
          <w:szCs w:val="21"/>
          <w:highlight w:val="none"/>
          <w:u w:val="single"/>
        </w:rPr>
        <w:t xml:space="preserve">（1）承包人应于每月25日向监理人报送上月20日至当月19日已完成的工程量报告，并附具进度付款申请单、已完成工程量报表和有关资料。</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（3）监理人未在收到承包人提交的工程量报表后的7天内完成审核的，承包人报送的工程量报告中的工程量视为承包人实际完成的工程量，据此计算工程价款。</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12.4 工程进度款支付</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12.4.1 付款</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rPr>
        <w:t xml:space="preserve">关于付款周期的约定：</w:t>
      </w:r>
      <w:r/>
    </w:p>
    <w:p>
      <w:pPr>
        <w:ind w:firstLine="422"/>
        <w:spacing w:line="360" w:lineRule="auto"/>
        <w:widowControl/>
        <w:rPr>
          <w:rFonts w:hint="eastAsia" w:ascii="黑体" w:hAnsi="黑体" w:eastAsia="黑体" w:cs="黑体"/>
          <w:b/>
          <w:color w:val="auto"/>
          <w:szCs w:val="21"/>
          <w:highlight w:val="none"/>
          <w:u w:val="single"/>
        </w:rPr>
      </w:pPr>
      <w:r>
        <w:rPr>
          <w:rFonts w:hint="eastAsia" w:ascii="黑体" w:hAnsi="黑体" w:eastAsia="黑体" w:cs="黑体"/>
          <w:b/>
          <w:color w:val="auto"/>
          <w:szCs w:val="21"/>
          <w:highlight w:val="none"/>
          <w:u w:val="single"/>
        </w:rPr>
        <w:t xml:space="preserve">工程竣工验收合格且工程结算审计结束后15个工作日内付至双方认可的结算价的100%。</w:t>
      </w:r>
      <w:r/>
    </w:p>
    <w:p>
      <w:pPr>
        <w:ind w:firstLine="422"/>
        <w:spacing w:line="360" w:lineRule="auto"/>
        <w:widowControl/>
        <w:rPr>
          <w:rFonts w:hint="eastAsia" w:ascii="黑体" w:hAnsi="黑体" w:eastAsia="黑体" w:cs="黑体"/>
          <w:b/>
          <w:color w:val="auto"/>
          <w:szCs w:val="21"/>
          <w:highlight w:val="none"/>
          <w:u w:val="single"/>
        </w:rPr>
      </w:pPr>
      <w:r>
        <w:rPr>
          <w:rFonts w:hint="eastAsia" w:ascii="黑体" w:hAnsi="黑体" w:eastAsia="黑体" w:cs="黑体"/>
          <w:b/>
          <w:color w:val="auto"/>
          <w:szCs w:val="21"/>
          <w:highlight w:val="none"/>
          <w:u w:val="single"/>
        </w:rPr>
        <w:t xml:space="preserve">支付程序遵循发包人财务付款程序支付。</w:t>
      </w:r>
      <w:r/>
    </w:p>
    <w:p>
      <w:pPr>
        <w:ind w:firstLine="422"/>
        <w:spacing w:line="360" w:lineRule="auto"/>
        <w:widowControl/>
        <w:rPr>
          <w:rFonts w:hint="eastAsia" w:ascii="黑体" w:hAnsi="黑体" w:eastAsia="黑体" w:cs="黑体"/>
          <w:b/>
          <w:bCs/>
          <w:color w:val="auto"/>
          <w:szCs w:val="21"/>
          <w:highlight w:val="none"/>
          <w:u w:val="single"/>
        </w:rPr>
      </w:pPr>
      <w:r>
        <w:rPr>
          <w:rFonts w:hint="eastAsia" w:ascii="黑体" w:hAnsi="黑体" w:eastAsia="黑体" w:cs="黑体"/>
          <w:b/>
          <w:bCs/>
          <w:color w:val="auto"/>
          <w:szCs w:val="21"/>
          <w:highlight w:val="none"/>
          <w:u w:val="single"/>
        </w:rPr>
        <w:t xml:space="preserve">发包人按照相关规定及工程实际进度，按月拨付已完成工程款的20%以上到承包方农民工工资专用账户（不开设农民工工资专用账户的，参照《江苏省工程建设领域农民工工资专用账户管理细则》苏人社规〔2022〕3号执行）。</w:t>
      </w:r>
      <w:r/>
    </w:p>
    <w:p>
      <w:pPr>
        <w:ind w:firstLine="480"/>
        <w:keepLines w:val="0"/>
        <w:keepNext w:val="0"/>
        <w:pageBreakBefore w:val="0"/>
        <w:spacing w:line="360" w:lineRule="auto"/>
        <w:widowControl w:val="off"/>
        <w:rPr>
          <w:rFonts w:hint="eastAsia" w:ascii="黑体" w:hAnsi="黑体" w:eastAsia="黑体" w:cs="黑体"/>
          <w:color w:val="auto"/>
          <w:sz w:val="24"/>
          <w:szCs w:val="24"/>
          <w:highlight w:val="none"/>
          <w:lang w:eastAsia="zh-CN"/>
        </w:rPr>
        <w:outlineLvl w:val="9"/>
      </w:pPr>
      <w:r>
        <w:rPr>
          <w:rFonts w:hint="eastAsia" w:ascii="黑体" w:hAnsi="黑体" w:eastAsia="黑体" w:cs="黑体"/>
          <w:color w:val="auto"/>
          <w:sz w:val="24"/>
          <w:szCs w:val="24"/>
          <w:highlight w:val="none"/>
          <w:lang w:eastAsia="zh-CN"/>
        </w:rPr>
        <w:t xml:space="preserve">其他约定：</w:t>
      </w:r>
      <w:r/>
    </w:p>
    <w:p>
      <w:pPr>
        <w:ind w:firstLine="422"/>
        <w:spacing w:line="360" w:lineRule="auto"/>
        <w:widowControl/>
        <w:rPr>
          <w:rFonts w:hint="eastAsia" w:ascii="黑体" w:hAnsi="黑体" w:eastAsia="黑体" w:cs="黑体"/>
          <w:b/>
          <w:bCs/>
          <w:color w:val="auto"/>
          <w:szCs w:val="21"/>
          <w:highlight w:val="none"/>
          <w:u w:val="none"/>
          <w:lang w:val="en-US" w:eastAsia="zh-CN"/>
        </w:rPr>
      </w:pPr>
      <w:r>
        <w:rPr>
          <w:rFonts w:hint="eastAsia" w:ascii="黑体" w:hAnsi="黑体" w:eastAsia="黑体" w:cs="黑体"/>
          <w:b/>
          <w:bCs/>
          <w:color w:val="auto"/>
          <w:szCs w:val="21"/>
          <w:highlight w:val="none"/>
          <w:u w:val="none"/>
          <w:lang w:val="en-US" w:eastAsia="zh-CN"/>
        </w:rPr>
        <w:t xml:space="preserve">（1）乙方根据甲方书面确定的支付数额，在每次申请支付款项前，向甲方提供等额合法有效发票，否则甲方有权拒绝付款，且不承担逾期付款违约责任。甲方按照财政流程申请支付。支付程序、时间节点遵循发包人财务付款程序。</w:t>
      </w:r>
      <w:r/>
    </w:p>
    <w:p>
      <w:pPr>
        <w:ind w:firstLine="422"/>
        <w:spacing w:line="360" w:lineRule="auto"/>
        <w:widowControl/>
        <w:rPr>
          <w:rFonts w:hint="eastAsia" w:ascii="黑体" w:hAnsi="黑体" w:eastAsia="黑体" w:cs="黑体"/>
          <w:b/>
          <w:bCs/>
          <w:color w:val="auto"/>
          <w:szCs w:val="21"/>
          <w:highlight w:val="none"/>
          <w:u w:val="none"/>
          <w:lang w:val="en-US" w:eastAsia="zh-CN"/>
        </w:rPr>
      </w:pPr>
      <w:r>
        <w:rPr>
          <w:rFonts w:hint="eastAsia" w:ascii="黑体" w:hAnsi="黑体" w:eastAsia="黑体" w:cs="黑体"/>
          <w:b/>
          <w:bCs/>
          <w:color w:val="auto"/>
          <w:szCs w:val="21"/>
          <w:highlight w:val="none"/>
          <w:u w:val="none"/>
          <w:lang w:val="en-US" w:eastAsia="zh-CN"/>
        </w:rPr>
        <w:t xml:space="preserve">（2）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发生农民工信访案件的或对发包人产生负面影响的，一经查实，发包人将扣除20000元/次工程款，发生农民工群访事件的发包人【3人以上】或产生社会负面影响的，一经查实，发包人将扣除 100000元/次工程款。</w:t>
      </w:r>
      <w:r/>
    </w:p>
    <w:p>
      <w:pPr>
        <w:ind w:firstLine="422"/>
        <w:spacing w:line="360" w:lineRule="auto"/>
        <w:widowControl/>
        <w:rPr>
          <w:rFonts w:hint="eastAsia" w:ascii="黑体" w:hAnsi="黑体" w:eastAsia="黑体" w:cs="黑体"/>
          <w:b/>
          <w:bCs/>
          <w:color w:val="auto"/>
          <w:szCs w:val="21"/>
          <w:highlight w:val="none"/>
          <w:u w:val="none"/>
          <w:lang w:val="en-US" w:eastAsia="zh-CN"/>
        </w:rPr>
      </w:pPr>
      <w:r>
        <w:rPr>
          <w:rFonts w:hint="eastAsia" w:ascii="黑体" w:hAnsi="黑体" w:eastAsia="黑体" w:cs="黑体"/>
          <w:b/>
          <w:bCs/>
          <w:color w:val="auto"/>
          <w:szCs w:val="21"/>
          <w:highlight w:val="none"/>
          <w:u w:val="none"/>
          <w:lang w:val="en-US" w:eastAsia="zh-CN"/>
        </w:rPr>
        <w:t xml:space="preserve">（3）合同履行过程中合同价款的调整均在竣工结算时调整，合同履行过程中不预付该款项。</w:t>
      </w:r>
      <w:r/>
    </w:p>
    <w:p>
      <w:pPr>
        <w:ind w:firstLine="422"/>
        <w:spacing w:line="360" w:lineRule="auto"/>
        <w:widowControl/>
        <w:rPr>
          <w:rFonts w:hint="eastAsia" w:ascii="黑体" w:hAnsi="黑体" w:eastAsia="黑体" w:cs="黑体"/>
          <w:color w:val="auto"/>
          <w:sz w:val="24"/>
          <w:szCs w:val="24"/>
          <w:highlight w:val="none"/>
          <w:lang w:eastAsia="zh-CN"/>
        </w:rPr>
      </w:pPr>
      <w:r>
        <w:rPr>
          <w:rFonts w:hint="eastAsia" w:ascii="黑体" w:hAnsi="黑体" w:eastAsia="黑体" w:cs="黑体"/>
          <w:b/>
          <w:bCs/>
          <w:color w:val="auto"/>
          <w:szCs w:val="21"/>
          <w:highlight w:val="none"/>
          <w:u w:val="none"/>
          <w:lang w:val="en-US" w:eastAsia="zh-CN"/>
        </w:rPr>
        <w:t xml:space="preserve">（4）合同约定的承包人应承担的违约金及各项费用，发包人有权从工程款中直接扣除。</w:t>
      </w:r>
      <w:r/>
    </w:p>
    <w:p>
      <w:pPr>
        <w:ind w:firstLine="422"/>
        <w:spacing w:line="360" w:lineRule="auto"/>
        <w:widowControl/>
        <w:rPr>
          <w:rFonts w:hint="eastAsia" w:ascii="黑体" w:hAnsi="黑体" w:eastAsia="黑体" w:cs="黑体"/>
          <w:b/>
          <w:bCs/>
          <w:color w:val="auto"/>
          <w:szCs w:val="21"/>
          <w:highlight w:val="none"/>
          <w:u w:val="single"/>
        </w:rPr>
      </w:pPr>
      <w:r>
        <w:rPr>
          <w:rFonts w:hint="eastAsia" w:ascii="黑体" w:hAnsi="黑体" w:eastAsia="黑体" w:cs="黑体"/>
          <w:b/>
          <w:bCs/>
          <w:color w:val="auto"/>
          <w:szCs w:val="21"/>
          <w:highlight w:val="none"/>
          <w:u w:val="single"/>
          <w:lang w:val="en-US" w:eastAsia="zh-CN"/>
        </w:rPr>
        <w:t xml:space="preserve">（5）根据[徐州市市政管理中心养护维修工程日常考核管理办法（试行）]发包人考核结果按得分比例扣除相应月份的费用,</w:t>
      </w:r>
      <w:r>
        <w:rPr>
          <w:rFonts w:hint="eastAsia" w:ascii="黑体" w:hAnsi="黑体" w:eastAsia="黑体" w:cs="黑体"/>
          <w:b/>
          <w:bCs/>
          <w:color w:val="auto"/>
          <w:szCs w:val="21"/>
          <w:highlight w:val="none"/>
          <w:u w:val="single"/>
        </w:rPr>
        <w:t xml:space="preserve">发包人从工程款中直接扣除。</w:t>
      </w:r>
      <w:r/>
    </w:p>
    <w:p>
      <w:pPr>
        <w:jc w:val="both"/>
        <w:keepLines/>
        <w:keepNext/>
        <w:spacing w:before="0" w:after="0" w:line="360" w:lineRule="auto"/>
        <w:rPr>
          <w:rFonts w:hint="eastAsia" w:ascii="黑体" w:hAnsi="黑体" w:eastAsia="黑体" w:cs="黑体"/>
          <w:b w:val="0"/>
          <w:bCs/>
          <w:color w:val="auto"/>
          <w:sz w:val="21"/>
          <w:szCs w:val="21"/>
          <w:highlight w:val="none"/>
          <w:lang w:val="en-US" w:eastAsia="zh-CN" w:bidi="ar-SA"/>
        </w:rPr>
        <w:outlineLvl w:val="9"/>
      </w:pPr>
      <w:r>
        <w:rPr>
          <w:rFonts w:hint="eastAsia" w:ascii="黑体" w:hAnsi="黑体" w:eastAsia="黑体" w:cs="黑体"/>
          <w:b w:val="0"/>
          <w:bCs/>
          <w:color w:val="auto"/>
          <w:sz w:val="21"/>
          <w:szCs w:val="21"/>
          <w:highlight w:val="none"/>
          <w:lang w:val="en-US" w:eastAsia="zh-CN" w:bidi="ar-SA"/>
        </w:rPr>
        <w:t xml:space="preserve">13. 验收和工程试车</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13.2 竣工验收</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13.2.2竣工验收程序</w:t>
      </w:r>
      <w:r/>
    </w:p>
    <w:p>
      <w:pPr>
        <w:ind w:left="0" w:firstLine="420"/>
        <w:keepLines w:val="0"/>
        <w:keepNext w:val="0"/>
        <w:pageBreakBefore w:val="0"/>
        <w:spacing w:line="360" w:lineRule="auto"/>
        <w:widowControl/>
        <w:rPr>
          <w:rFonts w:hint="eastAsia" w:ascii="黑体" w:hAnsi="黑体" w:eastAsia="黑体" w:cs="黑体"/>
          <w:color w:val="auto"/>
          <w:szCs w:val="21"/>
          <w:highlight w:val="none"/>
          <w:u w:val="single"/>
          <w:lang w:eastAsia="zh-CN"/>
        </w:rPr>
      </w:pPr>
      <w:r>
        <w:rPr>
          <w:rFonts w:hint="eastAsia" w:ascii="黑体" w:hAnsi="黑体" w:eastAsia="黑体" w:cs="黑体"/>
          <w:color w:val="auto"/>
          <w:szCs w:val="21"/>
          <w:highlight w:val="none"/>
        </w:rPr>
        <w:t xml:space="preserve">关于竣工验收程序的约定：</w:t>
      </w:r>
      <w:r>
        <w:rPr>
          <w:rFonts w:hint="eastAsia" w:ascii="黑体" w:hAnsi="黑体" w:eastAsia="黑体" w:cs="黑体"/>
          <w:color w:val="auto"/>
          <w:szCs w:val="21"/>
          <w:highlight w:val="none"/>
          <w:u w:val="single"/>
        </w:rPr>
        <w:t xml:space="preserve">执行通用条款</w:t>
      </w:r>
      <w:r>
        <w:rPr>
          <w:rFonts w:hint="eastAsia" w:ascii="黑体" w:hAnsi="黑体" w:eastAsia="黑体" w:cs="黑体"/>
          <w:color w:val="auto"/>
          <w:szCs w:val="21"/>
          <w:highlight w:val="none"/>
          <w:u w:val="single"/>
          <w:lang w:eastAsia="zh-CN"/>
        </w:rPr>
        <w:t xml:space="preserve">。验收发生的检测(检验)费、专业技术人员费用等费用支出由乙方承担。在竣工验收中被验收专家组指出明显、严重问题缺陷的，每发现一项，将向发包人支付合同金额1%的违约金。</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13.2.5移交、接收全部与部分工程</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rPr>
        <w:t xml:space="preserve">承包人向发包人移交工程的期限：</w:t>
      </w:r>
      <w:r>
        <w:rPr>
          <w:rFonts w:hint="eastAsia" w:ascii="黑体" w:hAnsi="黑体" w:eastAsia="黑体" w:cs="黑体"/>
          <w:color w:val="auto"/>
          <w:szCs w:val="21"/>
          <w:highlight w:val="none"/>
          <w:u w:val="single"/>
        </w:rPr>
        <w:t xml:space="preserve"> /  </w:t>
      </w:r>
      <w:r/>
    </w:p>
    <w:p>
      <w:pPr>
        <w:jc w:val="both"/>
        <w:keepLines/>
        <w:keepNext/>
        <w:spacing w:before="0" w:after="0" w:line="360" w:lineRule="auto"/>
        <w:rPr>
          <w:rFonts w:hint="eastAsia" w:ascii="黑体" w:hAnsi="黑体" w:eastAsia="黑体" w:cs="黑体"/>
          <w:b w:val="0"/>
          <w:bCs/>
          <w:color w:val="auto"/>
          <w:sz w:val="21"/>
          <w:szCs w:val="21"/>
          <w:highlight w:val="none"/>
          <w:lang w:val="en-US" w:eastAsia="zh-CN" w:bidi="ar-SA"/>
        </w:rPr>
        <w:outlineLvl w:val="9"/>
      </w:pPr>
      <w:r>
        <w:rPr>
          <w:rFonts w:hint="eastAsia" w:ascii="黑体" w:hAnsi="黑体" w:eastAsia="黑体" w:cs="黑体"/>
          <w:b w:val="0"/>
          <w:bCs/>
          <w:color w:val="auto"/>
          <w:sz w:val="21"/>
          <w:szCs w:val="21"/>
          <w:highlight w:val="none"/>
          <w:lang w:val="en-US" w:eastAsia="zh-CN" w:bidi="ar-SA"/>
        </w:rPr>
        <w:t xml:space="preserve">14. 竣工结算</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14.1 竣工结算申请</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承包人提交竣工结算申请单的期限：</w:t>
      </w:r>
      <w:r>
        <w:rPr>
          <w:rFonts w:hint="eastAsia" w:ascii="黑体" w:hAnsi="黑体" w:eastAsia="黑体" w:cs="黑体"/>
          <w:color w:val="auto"/>
          <w:szCs w:val="21"/>
          <w:highlight w:val="none"/>
          <w:u w:val="single"/>
        </w:rPr>
        <w:t xml:space="preserve">工程竣工验收合格后30天内提供完整的结算书，否则逾期影响财政结算不再受理，违约责任由承包方承担</w:t>
      </w:r>
      <w:r>
        <w:rPr>
          <w:rFonts w:hint="eastAsia" w:ascii="黑体" w:hAnsi="黑体" w:eastAsia="黑体" w:cs="黑体"/>
          <w:color w:val="auto"/>
          <w:szCs w:val="21"/>
          <w:highlight w:val="none"/>
        </w:rPr>
        <w:t xml:space="preserve">。</w:t>
      </w:r>
      <w:r/>
    </w:p>
    <w:p>
      <w:pPr>
        <w:ind w:left="0" w:right="0" w:firstLine="315"/>
        <w:jc w:val="both"/>
        <w:spacing w:before="0" w:after="0" w:line="360" w:lineRule="auto"/>
        <w:widowControl w:val="off"/>
        <w:rPr>
          <w:rFonts w:hint="eastAsia" w:ascii="黑体" w:hAnsi="黑体" w:eastAsia="黑体" w:cs="黑体"/>
          <w:color w:val="auto"/>
          <w:sz w:val="21"/>
          <w:szCs w:val="21"/>
          <w:highlight w:val="none"/>
          <w:u w:val="single"/>
          <w:lang w:val="en-US" w:eastAsia="zh-CN" w:bidi="ar-SA"/>
        </w:rPr>
      </w:pPr>
      <w:r>
        <w:rPr>
          <w:rFonts w:hint="eastAsia" w:ascii="黑体" w:hAnsi="黑体" w:eastAsia="黑体" w:cs="黑体"/>
          <w:color w:val="auto"/>
          <w:sz w:val="21"/>
          <w:szCs w:val="21"/>
          <w:highlight w:val="none"/>
          <w:lang w:val="en-US" w:eastAsia="zh-CN" w:bidi="ar-SA"/>
        </w:rPr>
        <w:t xml:space="preserve">竣工结算申请单应包括的内容：</w:t>
      </w:r>
      <w:r>
        <w:rPr>
          <w:rFonts w:hint="eastAsia" w:ascii="黑体" w:hAnsi="黑体" w:eastAsia="黑体" w:cs="黑体"/>
          <w:color w:val="auto"/>
          <w:sz w:val="21"/>
          <w:szCs w:val="21"/>
          <w:highlight w:val="none"/>
          <w:u w:val="single"/>
          <w:lang w:val="en-US" w:eastAsia="zh-CN" w:bidi="ar-SA"/>
        </w:rPr>
        <w:t xml:space="preserve">  除通用条款要求外，还应包括工程验收合格证书、工程移交单、工程竣工图（施工、设计、监理等单位签字盖章）、工程结算书（含现场签证）、接收甲供材料数量一览表并附相关凭证（含供货单位、甲方、乙方、监理单位签字盖章）、工程中标通知书（复印件）、工程投标书及其附件和其它报财政评审需要的资料，一式两份。</w:t>
      </w:r>
      <w:r/>
    </w:p>
    <w:p>
      <w:pPr>
        <w:ind w:left="0" w:right="0" w:firstLine="315"/>
        <w:jc w:val="both"/>
        <w:spacing w:before="0" w:after="0" w:line="360" w:lineRule="auto"/>
        <w:widowControl w:val="off"/>
        <w:rPr>
          <w:rFonts w:hint="eastAsia" w:ascii="黑体" w:hAnsi="黑体" w:eastAsia="黑体" w:cs="黑体"/>
          <w:color w:val="auto"/>
          <w:sz w:val="21"/>
          <w:szCs w:val="21"/>
          <w:highlight w:val="none"/>
          <w:u w:val="single"/>
          <w:lang w:val="en-US" w:eastAsia="zh-CN" w:bidi="ar-SA"/>
        </w:rPr>
      </w:pPr>
      <w:r>
        <w:rPr>
          <w:rFonts w:hint="eastAsia" w:ascii="黑体" w:hAnsi="黑体" w:eastAsia="黑体" w:cs="黑体"/>
          <w:color w:val="auto"/>
          <w:sz w:val="21"/>
          <w:szCs w:val="21"/>
          <w:highlight w:val="none"/>
          <w:u w:val="single"/>
          <w:lang w:val="en-US" w:eastAsia="zh-CN" w:bidi="ar-SA"/>
        </w:rPr>
        <w:t xml:space="preserve">为防止工程结算高估冒算，承包人应认真核对所报真实提供结算信息，工程造价最终审减额若超过送审额的7%以上（不含7%），发包人可按审减超出部分的5%予以扣款。</w:t>
      </w:r>
      <w:r/>
    </w:p>
    <w:p>
      <w:pPr>
        <w:ind w:firstLine="420"/>
        <w:spacing w:line="360" w:lineRule="auto"/>
        <w:widowControl/>
        <w:rPr>
          <w:rFonts w:hint="eastAsia" w:ascii="黑体" w:hAnsi="黑体" w:eastAsia="黑体" w:cs="黑体"/>
          <w:color w:val="auto"/>
          <w:szCs w:val="21"/>
          <w:highlight w:val="none"/>
        </w:rPr>
        <w:outlineLvl w:val="9"/>
      </w:pPr>
      <w:r>
        <w:rPr>
          <w:rFonts w:hint="eastAsia" w:ascii="黑体" w:hAnsi="黑体" w:eastAsia="黑体" w:cs="黑体"/>
          <w:color w:val="auto"/>
          <w:szCs w:val="21"/>
          <w:highlight w:val="none"/>
        </w:rPr>
        <w:t xml:space="preserve">14.2 竣工结算审核</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发包人审批竣工付款申请单的期限：</w:t>
      </w:r>
      <w:r>
        <w:rPr>
          <w:rFonts w:hint="eastAsia" w:ascii="黑体" w:hAnsi="黑体" w:eastAsia="黑体" w:cs="黑体"/>
          <w:color w:val="auto"/>
          <w:szCs w:val="21"/>
          <w:highlight w:val="none"/>
          <w:u w:val="single"/>
        </w:rPr>
        <w:t xml:space="preserve">在双方无争议的情况下，自收到承包人完整的竣工结算资料3个月内，承包人在上述时间内应积极配合发包人及审计部门的审核，若承包人不配合，或双方存在争议的，审计时间相应顺延。结算审计完成后，承包人放弃对结算价款之外的任何款项的权利主张</w:t>
      </w:r>
      <w:r>
        <w:rPr>
          <w:rFonts w:hint="eastAsia" w:ascii="黑体" w:hAnsi="黑体" w:eastAsia="黑体" w:cs="黑体"/>
          <w:color w:val="auto"/>
          <w:szCs w:val="21"/>
          <w:highlight w:val="none"/>
        </w:rPr>
        <w:t xml:space="preserve">。</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发包人完成竣工付款的期限：</w:t>
      </w:r>
      <w:r>
        <w:rPr>
          <w:rFonts w:hint="eastAsia" w:ascii="黑体" w:hAnsi="黑体" w:eastAsia="黑体" w:cs="黑体"/>
          <w:color w:val="auto"/>
          <w:szCs w:val="21"/>
          <w:highlight w:val="none"/>
          <w:u w:val="single"/>
        </w:rPr>
        <w:t xml:space="preserve">竣工验收合格后且审计结束，按发包人财务付款程序支付</w:t>
      </w:r>
      <w:r>
        <w:rPr>
          <w:rFonts w:hint="eastAsia" w:ascii="黑体" w:hAnsi="黑体" w:eastAsia="黑体" w:cs="黑体"/>
          <w:color w:val="auto"/>
          <w:szCs w:val="21"/>
          <w:highlight w:val="none"/>
        </w:rPr>
        <w:t xml:space="preserve">。</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14.4 最终结清</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14.4.1 最终结清申请单</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承包人提交最终结清申请单的份数：</w:t>
      </w:r>
      <w:r>
        <w:rPr>
          <w:rFonts w:hint="eastAsia" w:ascii="黑体" w:hAnsi="黑体" w:eastAsia="黑体" w:cs="黑体"/>
          <w:color w:val="auto"/>
          <w:szCs w:val="21"/>
          <w:highlight w:val="none"/>
          <w:u w:val="single"/>
        </w:rPr>
        <w:t xml:space="preserve">  一式四份  </w:t>
      </w:r>
      <w:r>
        <w:rPr>
          <w:rFonts w:hint="eastAsia" w:ascii="黑体" w:hAnsi="黑体" w:eastAsia="黑体" w:cs="黑体"/>
          <w:color w:val="auto"/>
          <w:szCs w:val="21"/>
          <w:highlight w:val="none"/>
        </w:rPr>
        <w:t xml:space="preserve">。</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承包人提交最终结算申请单的期限：</w:t>
      </w:r>
      <w:r>
        <w:rPr>
          <w:rFonts w:hint="eastAsia" w:ascii="黑体" w:hAnsi="黑体" w:eastAsia="黑体" w:cs="黑体"/>
          <w:color w:val="auto"/>
          <w:szCs w:val="21"/>
          <w:highlight w:val="none"/>
          <w:u w:val="single"/>
        </w:rPr>
        <w:t xml:space="preserve">   竣工验收合格之日起满2年后、已办理完毕道路接收部门的移交手续后且无质量问题后7天内</w:t>
      </w:r>
      <w:r>
        <w:rPr>
          <w:rFonts w:hint="eastAsia" w:ascii="黑体" w:hAnsi="黑体" w:eastAsia="黑体" w:cs="黑体"/>
          <w:color w:val="auto"/>
          <w:szCs w:val="21"/>
          <w:highlight w:val="none"/>
        </w:rPr>
        <w:t xml:space="preserve">。 </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14.4.2 最终结清证书和支付</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（1）发包人完成最终结清申请单的审批并颁发最终结清证书的期限：</w:t>
      </w:r>
      <w:r>
        <w:rPr>
          <w:rFonts w:hint="eastAsia" w:ascii="黑体" w:hAnsi="黑体" w:eastAsia="黑体" w:cs="黑体"/>
          <w:color w:val="auto"/>
          <w:szCs w:val="21"/>
          <w:highlight w:val="none"/>
          <w:u w:val="single"/>
        </w:rPr>
        <w:t xml:space="preserve"> 收到承包人提交的最终结清申请单后56天内</w:t>
      </w:r>
      <w:r>
        <w:rPr>
          <w:rFonts w:hint="eastAsia" w:ascii="黑体" w:hAnsi="黑体" w:eastAsia="黑体" w:cs="黑体"/>
          <w:color w:val="auto"/>
          <w:szCs w:val="21"/>
          <w:highlight w:val="none"/>
        </w:rPr>
        <w:t xml:space="preserve">。</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（2）发包人完成支付的期限：</w:t>
      </w:r>
      <w:r>
        <w:rPr>
          <w:rFonts w:hint="eastAsia" w:ascii="黑体" w:hAnsi="黑体" w:eastAsia="黑体" w:cs="黑体"/>
          <w:color w:val="auto"/>
          <w:szCs w:val="21"/>
          <w:highlight w:val="none"/>
          <w:u w:val="single"/>
        </w:rPr>
        <w:t xml:space="preserve">  颁发最终结清证书后56天内  </w:t>
      </w:r>
      <w:r>
        <w:rPr>
          <w:rFonts w:hint="eastAsia" w:ascii="黑体" w:hAnsi="黑体" w:eastAsia="黑体" w:cs="黑体"/>
          <w:color w:val="auto"/>
          <w:szCs w:val="21"/>
          <w:highlight w:val="none"/>
        </w:rPr>
        <w:t xml:space="preserve">。</w:t>
      </w:r>
      <w:r/>
    </w:p>
    <w:p>
      <w:pPr>
        <w:jc w:val="both"/>
        <w:keepLines/>
        <w:keepNext/>
        <w:spacing w:before="0" w:after="0" w:line="360" w:lineRule="auto"/>
        <w:rPr>
          <w:rFonts w:hint="eastAsia" w:ascii="黑体" w:hAnsi="黑体" w:eastAsia="黑体" w:cs="黑体"/>
          <w:b w:val="0"/>
          <w:bCs/>
          <w:color w:val="auto"/>
          <w:sz w:val="21"/>
          <w:szCs w:val="21"/>
          <w:highlight w:val="none"/>
          <w:lang w:val="en-US" w:eastAsia="zh-CN" w:bidi="ar-SA"/>
        </w:rPr>
        <w:outlineLvl w:val="9"/>
      </w:pPr>
      <w:r>
        <w:rPr>
          <w:rFonts w:hint="eastAsia" w:ascii="黑体" w:hAnsi="黑体" w:eastAsia="黑体" w:cs="黑体"/>
          <w:b w:val="0"/>
          <w:bCs/>
          <w:color w:val="auto"/>
          <w:sz w:val="21"/>
          <w:szCs w:val="21"/>
          <w:highlight w:val="none"/>
          <w:lang w:val="en-US" w:eastAsia="zh-CN" w:bidi="ar-SA"/>
        </w:rPr>
        <w:t xml:space="preserve">15. 缺陷责任期与保修</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15.2缺陷责任期</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缺陷责任期的具体期限：</w:t>
      </w:r>
      <w:r>
        <w:rPr>
          <w:rFonts w:hint="eastAsia" w:ascii="黑体" w:hAnsi="黑体" w:eastAsia="黑体" w:cs="黑体"/>
          <w:color w:val="auto"/>
          <w:szCs w:val="21"/>
          <w:highlight w:val="none"/>
          <w:u w:val="single"/>
        </w:rPr>
        <w:t xml:space="preserve"> 自竣工验收合格之日起24个月 。</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15.4保修</w:t>
      </w:r>
      <w:r/>
    </w:p>
    <w:p>
      <w:pPr>
        <w:ind w:firstLine="409"/>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15.4.1 保修责任</w:t>
      </w:r>
      <w:r/>
    </w:p>
    <w:p>
      <w:pPr>
        <w:ind w:firstLine="409"/>
        <w:spacing w:line="360" w:lineRule="auto"/>
        <w:widowControl/>
        <w:rPr>
          <w:rFonts w:hint="eastAsia" w:ascii="黑体" w:hAnsi="黑体" w:eastAsia="黑体" w:cs="黑体"/>
          <w:b/>
          <w:color w:val="auto"/>
          <w:szCs w:val="21"/>
          <w:highlight w:val="none"/>
          <w:u w:val="single"/>
        </w:rPr>
      </w:pPr>
      <w:r>
        <w:rPr>
          <w:rFonts w:hint="eastAsia" w:ascii="黑体" w:hAnsi="黑体" w:eastAsia="黑体" w:cs="黑体"/>
          <w:color w:val="auto"/>
          <w:szCs w:val="21"/>
          <w:highlight w:val="none"/>
        </w:rPr>
        <w:t xml:space="preserve">工程保修期为</w:t>
      </w:r>
      <w:r>
        <w:rPr>
          <w:rFonts w:hint="eastAsia" w:ascii="黑体" w:hAnsi="黑体" w:eastAsia="黑体" w:cs="黑体"/>
          <w:bCs/>
          <w:color w:val="auto"/>
          <w:szCs w:val="21"/>
          <w:highlight w:val="none"/>
          <w:u w:val="single"/>
        </w:rPr>
        <w:t xml:space="preserve">详工程质量保修书。</w:t>
      </w:r>
      <w:r/>
    </w:p>
    <w:p>
      <w:pPr>
        <w:ind w:firstLine="409"/>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15.4.3 修复通知</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承包人收到保修通知并到达工程现场的合理时间：</w:t>
      </w:r>
      <w:r>
        <w:rPr>
          <w:rFonts w:hint="eastAsia" w:ascii="黑体" w:hAnsi="黑体" w:eastAsia="黑体" w:cs="黑体"/>
          <w:color w:val="auto"/>
          <w:szCs w:val="21"/>
          <w:highlight w:val="none"/>
          <w:u w:val="single"/>
        </w:rPr>
        <w:t xml:space="preserve">   6小时内  </w:t>
      </w:r>
      <w:r>
        <w:rPr>
          <w:rFonts w:hint="eastAsia" w:ascii="黑体" w:hAnsi="黑体" w:eastAsia="黑体" w:cs="黑体"/>
          <w:color w:val="auto"/>
          <w:szCs w:val="21"/>
          <w:highlight w:val="none"/>
        </w:rPr>
        <w:t xml:space="preserve">。</w:t>
      </w:r>
      <w:r/>
    </w:p>
    <w:p>
      <w:pPr>
        <w:jc w:val="both"/>
        <w:keepLines/>
        <w:keepNext/>
        <w:spacing w:before="0" w:after="0" w:line="360" w:lineRule="auto"/>
        <w:rPr>
          <w:rFonts w:hint="eastAsia" w:ascii="黑体" w:hAnsi="黑体" w:eastAsia="黑体" w:cs="黑体"/>
          <w:b w:val="0"/>
          <w:bCs/>
          <w:color w:val="auto"/>
          <w:sz w:val="21"/>
          <w:szCs w:val="21"/>
          <w:highlight w:val="none"/>
          <w:lang w:val="en-US" w:eastAsia="zh-CN" w:bidi="ar-SA"/>
        </w:rPr>
        <w:outlineLvl w:val="9"/>
      </w:pPr>
      <w:r>
        <w:rPr>
          <w:rFonts w:hint="eastAsia" w:ascii="黑体" w:hAnsi="黑体" w:eastAsia="黑体" w:cs="黑体"/>
          <w:b w:val="0"/>
          <w:bCs/>
          <w:color w:val="auto"/>
          <w:sz w:val="21"/>
          <w:szCs w:val="21"/>
          <w:highlight w:val="none"/>
          <w:lang w:val="en-US" w:eastAsia="zh-CN" w:bidi="ar-SA"/>
        </w:rPr>
        <w:t xml:space="preserve">16. 违约</w:t>
      </w:r>
      <w:r/>
    </w:p>
    <w:p>
      <w:pPr>
        <w:ind w:firstLine="420"/>
        <w:spacing w:line="360" w:lineRule="auto"/>
        <w:widowControl/>
        <w:rPr>
          <w:rFonts w:hint="eastAsia" w:ascii="黑体" w:hAnsi="黑体" w:eastAsia="黑体" w:cs="黑体"/>
          <w:color w:val="auto"/>
          <w:szCs w:val="21"/>
          <w:highlight w:val="none"/>
        </w:rPr>
        <w:outlineLvl w:val="9"/>
      </w:pPr>
      <w:r>
        <w:rPr>
          <w:rFonts w:hint="eastAsia" w:ascii="黑体" w:hAnsi="黑体" w:eastAsia="黑体" w:cs="黑体"/>
          <w:color w:val="auto"/>
          <w:szCs w:val="21"/>
          <w:highlight w:val="none"/>
        </w:rPr>
        <w:t xml:space="preserve">16.1 发包人违约</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16.1.1发包人违约的情形：</w:t>
      </w:r>
      <w:r>
        <w:rPr>
          <w:rFonts w:hint="eastAsia" w:ascii="黑体" w:hAnsi="黑体" w:eastAsia="黑体" w:cs="黑体"/>
          <w:color w:val="auto"/>
          <w:szCs w:val="21"/>
          <w:highlight w:val="none"/>
          <w:u w:val="single"/>
        </w:rPr>
        <w:t xml:space="preserve">   执行通用条款       </w:t>
      </w:r>
      <w:r>
        <w:rPr>
          <w:rFonts w:hint="eastAsia" w:ascii="黑体" w:hAnsi="黑体" w:eastAsia="黑体" w:cs="黑体"/>
          <w:color w:val="auto"/>
          <w:szCs w:val="21"/>
          <w:highlight w:val="none"/>
        </w:rPr>
        <w:t xml:space="preserve">。</w:t>
      </w:r>
      <w:r/>
    </w:p>
    <w:p>
      <w:pPr>
        <w:ind w:firstLine="420"/>
        <w:spacing w:line="360" w:lineRule="auto"/>
        <w:widowControl/>
        <w:rPr>
          <w:rFonts w:hint="eastAsia" w:ascii="黑体" w:hAnsi="黑体" w:eastAsia="黑体" w:cs="黑体"/>
          <w:color w:val="auto"/>
          <w:szCs w:val="21"/>
          <w:highlight w:val="none"/>
        </w:rPr>
        <w:outlineLvl w:val="9"/>
      </w:pPr>
      <w:r>
        <w:rPr>
          <w:rFonts w:hint="eastAsia" w:ascii="黑体" w:hAnsi="黑体" w:eastAsia="黑体" w:cs="黑体"/>
          <w:color w:val="auto"/>
          <w:szCs w:val="21"/>
          <w:highlight w:val="none"/>
        </w:rPr>
        <w:t xml:space="preserve">16.2 承包人违约</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16.2.1 承包人违约的情形</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承包人承包的工程质量必须符合道路、桥梁</w:t>
      </w:r>
      <w:r>
        <w:rPr>
          <w:rFonts w:hint="eastAsia" w:ascii="黑体" w:hAnsi="黑体" w:eastAsia="黑体" w:cs="黑体"/>
          <w:color w:val="auto"/>
          <w:szCs w:val="21"/>
          <w:highlight w:val="none"/>
          <w:u w:val="single"/>
          <w:lang w:val="en-US" w:eastAsia="zh-CN"/>
        </w:rPr>
        <w:t xml:space="preserve">修复</w:t>
      </w:r>
      <w:r>
        <w:rPr>
          <w:rFonts w:hint="eastAsia" w:ascii="黑体" w:hAnsi="黑体" w:eastAsia="黑体" w:cs="黑体"/>
          <w:color w:val="auto"/>
          <w:szCs w:val="21"/>
          <w:highlight w:val="none"/>
          <w:u w:val="single"/>
        </w:rPr>
        <w:t xml:space="preserve">等技术规范要求,如不符合质量验收标准要求,所发生的一切返工费用及由此给发包人造成的的经济损失均由承包人承担,此项赔偿并不能解除中标单位完成工程的责任及合同规定的其他责任。如因施工质量导致安全事故,承担事故处理的一切费用、工程的恢复费用及因此造成后续工程延误费用。</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承包人违约的其他情形：</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①承包人在中标后，未能按规定的时间办理相关手续、缴纳相关费用；</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②没有合理的原因而未能按期开工；</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③承包人无正当理由停工;</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④拒绝或不遵照发包人或监理工程师要求整改、更换或拆除有缺陷的工程，不合适的材料或物资的书面通知；或执行（整改）不力的。</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⑤中标后被发现有出卖资质、非法挂靠行为的中标人（承包人）。</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⑥其他执行通用条款和专用条款约定 。</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16.2.2承包人违约的责任</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承包人违约责任的承担方式和计算方法：</w:t>
      </w:r>
      <w:r/>
    </w:p>
    <w:p>
      <w:pPr>
        <w:ind w:firstLine="420"/>
        <w:spacing w:line="360" w:lineRule="auto"/>
        <w:widowControl/>
        <w:rPr>
          <w:rFonts w:hint="eastAsia" w:ascii="黑体" w:hAnsi="黑体" w:eastAsia="黑体" w:cs="黑体"/>
          <w:color w:val="auto"/>
          <w:szCs w:val="21"/>
          <w:highlight w:val="none"/>
          <w:u w:val="single"/>
          <w:lang w:eastAsia="zh-CN"/>
        </w:rPr>
      </w:pPr>
      <w:r>
        <w:rPr>
          <w:rFonts w:hint="eastAsia" w:ascii="黑体" w:hAnsi="黑体" w:eastAsia="黑体" w:cs="黑体"/>
          <w:color w:val="auto"/>
          <w:szCs w:val="21"/>
          <w:highlight w:val="none"/>
          <w:u w:val="single"/>
        </w:rPr>
        <w:t xml:space="preserve">①承包人违反合同约定进行转包或违法分包的：转包或分包合同无效，承包人应向发包人承担转包或分包合同金额 30%的违约金，并继续履行本合同；发包人也有权选择单方解除施工合同，清退施工人员并按合同总价的 30%收取违约金，在这种情况下，承包人必须在 10 日内退场，并且不得提出任何对发包人不利的要求。发包人若选择接受转包或分包行为的，承包人应当与实际施工人就分包和转包工程向发包人承担连带责任</w:t>
      </w:r>
      <w:r>
        <w:rPr>
          <w:rFonts w:hint="eastAsia" w:ascii="黑体" w:hAnsi="黑体" w:eastAsia="黑体" w:cs="黑体"/>
          <w:color w:val="auto"/>
          <w:szCs w:val="21"/>
          <w:highlight w:val="none"/>
          <w:u w:val="single"/>
          <w:lang w:eastAsia="zh-CN"/>
        </w:rPr>
        <w:t xml:space="preserve">。</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②承包人违反合同约定采购和使用不合格的材料和工程设备的: 承包人采购的材料设备的品种、规格、型号、质量等级不能通过监理或发包人认可或不符</w:t>
      </w:r>
      <w:r>
        <w:rPr>
          <w:rFonts w:hint="eastAsia" w:ascii="黑体" w:hAnsi="黑体" w:eastAsia="黑体" w:cs="黑体"/>
          <w:color w:val="auto"/>
          <w:szCs w:val="21"/>
          <w:highlight w:val="none"/>
          <w:u w:val="single"/>
        </w:rPr>
        <w:t xml:space="preserve">合样品要求的,监理或发包人有权拒绝相应的材料、设备进场使用，已经使用的，承包人应负责拆除更换并承担因此产生的一切费用和损失，所造成的工期延误等损失由承包人承担，且每发生一次，承包人向发包人支付 5000 元违约金。如承包人拒绝执行监理或发包人上述指令的，发包人有权单方解除合同，要求承包人清场，承包人应向发包人承担合同价款 20%的违约金，由此造成的发包人的损失和工期延误，由承包人负责赔偿。监理或发包人有权随时在指令规定的时间内一次或分几次从现场运离发包人认为不合格的任何材料或设备，所发生的费用由承包人承担。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③因承包人原因导致工程质量不符合合同要求的：承包人应无条件整改直至满足合同要求，并承担因此所产生的一切费用和损失。整改所需时间计算在合同总工期内，因此造成的工期延误按照合同专用条款 7.5.2 执行。</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④承包人在缺陷责任期及保修期内，应根据本合同约定的期限对工程缺陷、损坏进行修复，承包人如未按时到场维修或经过两次及以上维修仍未能解决问题或承包人未按要求维修，发包人有权另行委托第三方进行维修，因此而产生的费用将从承包人履约保证金中双倍扣除，超支部分由承包人承担。缺陷责任期及保修期内因工程质量问题给发包人、业主或他人造成财产损失和人身伤害的，由承包人承担一切责任。</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⑤承包人明确表示或者以其行为表明不履行合同主要义务的：发包人有权单方解除合同并不再对承包人已完工程量进行结算，承包人应承担因此造成的一切损失。</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⑥承包人无正当理由停工: 如承包人施工期间无正当理由停工 48 小时或工期延误超过五天，发包方有权将承包方未完成工作量全部或部分发包给其他承包人进行施工，发包方与其它承包人的结算价款直接从承包人结算总价中扣除，不足部分仍由承包人承担，且承包人须无条件认可。</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工期延误达十天时，发包人有权单方解除合同，将承包人清退出场并更换施工单位，由此产生的所有损失由承包人负责赔偿，承包人还应向发包人支付合同总价款 20%的违约金。</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⑦拒绝或不遵照发包人或监理工程师要求整改、更换或拆除有缺陷的工程，不合适的材料或物资的书面通知；或执行（整改）不力的：发包人有权要求对承包人支付违约金，违约金数额为该缺陷部位工程造价的 1-3 倍；该违约金并不免除承包人的整改、更换工拆除责任及因此缺陷给发包人造成损失的赔偿责任。</w:t>
      </w:r>
      <w:r/>
    </w:p>
    <w:p>
      <w:pPr>
        <w:ind w:firstLine="420"/>
        <w:spacing w:line="360" w:lineRule="auto"/>
        <w:widowControl/>
        <w:rPr>
          <w:rFonts w:hint="eastAsia" w:ascii="黑体" w:hAnsi="黑体" w:eastAsia="黑体" w:cs="黑体"/>
          <w:color w:val="auto"/>
          <w:szCs w:val="21"/>
          <w:highlight w:val="none"/>
          <w:u w:val="single"/>
          <w:lang w:val="en-US" w:eastAsia="zh-CN"/>
        </w:rPr>
      </w:pPr>
      <w:r>
        <w:rPr>
          <w:rFonts w:hint="eastAsia" w:ascii="黑体" w:hAnsi="黑体" w:eastAsia="黑体" w:cs="黑体"/>
          <w:color w:val="auto"/>
          <w:szCs w:val="21"/>
          <w:highlight w:val="none"/>
          <w:u w:val="single"/>
          <w:lang w:val="en-US" w:eastAsia="zh-CN"/>
        </w:rPr>
        <w:t xml:space="preserve">⑧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发生农民工信访案件的或对发包人产生负面影响的，一经查实，发包人将扣除20000元/次工程款，发生农民工群访事件的发包人【3人以上】或产生社会负面影响的，一经查实，发包人将扣除 100000元/次工程款。</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承包人发生除本项第⑤目约定以外的其他违约情况时，监理人可向承包人发出整改通知，要求其在指定的期限内改正。若不能按期改正，按以上约定执行。</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由此造成的一切损失由承包人承担。</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由承包人承担全部费用并承担相关法律责任。</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16.2.3 因承包人违约解除合同</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rPr>
        <w:t xml:space="preserve">关于承包人违约解除合同的特别约定：</w:t>
      </w:r>
      <w:r>
        <w:rPr>
          <w:rFonts w:hint="eastAsia" w:ascii="黑体" w:hAnsi="黑体" w:eastAsia="黑体" w:cs="黑体"/>
          <w:color w:val="auto"/>
          <w:szCs w:val="21"/>
          <w:highlight w:val="none"/>
          <w:u w:val="single"/>
        </w:rPr>
        <w:t xml:space="preserve">在市政设施养护作业合同期间，有下列情景之一提前终止合同:</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(1)不遵守交通法规，未按照规程操作发生有责交通事故的。</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(2)遇有重大活动或突发事件时，未按要求落实作业机具和人员，保障不力而造成不良影响的。</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(3)市领导及各级监管部门检查发现抄告问题未限期整改到位的。</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(4)合同标段养管部门问题及时整改率未达到 100%的。</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(5)两次出现单项维护工程未按时竣工的。</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(6)管理混乱，发生管养人员集体上访的。</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(7)组织管理机构、人员素质、养护人数与投标承诺不符，无法完成道路综合管养任务的。</w:t>
      </w:r>
      <w:r/>
    </w:p>
    <w:p>
      <w:pPr>
        <w:jc w:val="both"/>
        <w:keepLines/>
        <w:keepNext/>
        <w:spacing w:before="0" w:after="0" w:line="360" w:lineRule="auto"/>
        <w:rPr>
          <w:rFonts w:hint="eastAsia" w:ascii="黑体" w:hAnsi="黑体" w:eastAsia="黑体" w:cs="黑体"/>
          <w:b w:val="0"/>
          <w:bCs/>
          <w:color w:val="auto"/>
          <w:sz w:val="21"/>
          <w:szCs w:val="21"/>
          <w:highlight w:val="none"/>
          <w:lang w:val="en-US" w:eastAsia="zh-CN" w:bidi="ar-SA"/>
        </w:rPr>
        <w:outlineLvl w:val="9"/>
      </w:pPr>
      <w:r>
        <w:rPr>
          <w:rFonts w:hint="eastAsia" w:ascii="黑体" w:hAnsi="黑体" w:eastAsia="黑体" w:cs="黑体"/>
          <w:b w:val="0"/>
          <w:bCs/>
          <w:color w:val="auto"/>
          <w:sz w:val="21"/>
          <w:szCs w:val="21"/>
          <w:highlight w:val="none"/>
          <w:lang w:val="en-US" w:eastAsia="zh-CN" w:bidi="ar-SA"/>
        </w:rPr>
        <w:t xml:space="preserve">17. 不可抗力 </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17.1 不可抗力的确认</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rPr>
        <w:t xml:space="preserve">除通用合同条款约定的不可抗力事件之外，视为不可抗力的其他情形： </w:t>
      </w:r>
      <w:r>
        <w:rPr>
          <w:rFonts w:hint="eastAsia" w:ascii="黑体" w:hAnsi="黑体" w:eastAsia="黑体" w:cs="黑体"/>
          <w:color w:val="auto"/>
          <w:szCs w:val="21"/>
          <w:highlight w:val="none"/>
          <w:u w:val="single"/>
        </w:rPr>
        <w:t xml:space="preserve"> 政策调整，取消全部或部分工程内容 </w:t>
      </w:r>
      <w:r>
        <w:rPr>
          <w:rFonts w:hint="eastAsia" w:ascii="黑体" w:hAnsi="黑体" w:eastAsia="黑体" w:cs="黑体"/>
          <w:color w:val="auto"/>
          <w:szCs w:val="21"/>
          <w:highlight w:val="none"/>
        </w:rPr>
        <w:t xml:space="preserve">。</w:t>
      </w:r>
      <w:r/>
    </w:p>
    <w:p>
      <w:pPr>
        <w:ind w:firstLine="420"/>
        <w:spacing w:line="360" w:lineRule="auto"/>
        <w:widowControl/>
        <w:rPr>
          <w:rFonts w:hint="eastAsia" w:ascii="黑体" w:hAnsi="黑体" w:eastAsia="黑体" w:cs="黑体"/>
          <w:color w:val="auto"/>
          <w:szCs w:val="21"/>
          <w:highlight w:val="none"/>
        </w:rPr>
        <w:outlineLvl w:val="9"/>
      </w:pPr>
      <w:r>
        <w:rPr>
          <w:rFonts w:hint="eastAsia" w:ascii="黑体" w:hAnsi="黑体" w:eastAsia="黑体" w:cs="黑体"/>
          <w:color w:val="auto"/>
          <w:szCs w:val="21"/>
          <w:highlight w:val="none"/>
        </w:rPr>
        <w:t xml:space="preserve">17.4 因不可抗力解除合同</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合同解除后，发包人应在商定或确定发包人应支付款项后</w:t>
      </w:r>
      <w:r>
        <w:rPr>
          <w:rFonts w:hint="eastAsia" w:ascii="黑体" w:hAnsi="黑体" w:eastAsia="黑体" w:cs="黑体"/>
          <w:color w:val="auto"/>
          <w:szCs w:val="21"/>
          <w:highlight w:val="none"/>
          <w:u w:val="single"/>
        </w:rPr>
        <w:t xml:space="preserve"> 56 </w:t>
      </w:r>
      <w:r>
        <w:rPr>
          <w:rFonts w:hint="eastAsia" w:ascii="黑体" w:hAnsi="黑体" w:eastAsia="黑体" w:cs="黑体"/>
          <w:color w:val="auto"/>
          <w:szCs w:val="21"/>
          <w:highlight w:val="none"/>
        </w:rPr>
        <w:t xml:space="preserve">天内完成款项的支付。</w:t>
      </w:r>
      <w:r/>
    </w:p>
    <w:p>
      <w:pPr>
        <w:jc w:val="both"/>
        <w:keepLines/>
        <w:keepNext/>
        <w:spacing w:before="0" w:after="0" w:line="360" w:lineRule="auto"/>
        <w:rPr>
          <w:rFonts w:hint="eastAsia" w:ascii="黑体" w:hAnsi="黑体" w:eastAsia="黑体" w:cs="黑体"/>
          <w:b w:val="0"/>
          <w:bCs/>
          <w:color w:val="auto"/>
          <w:sz w:val="21"/>
          <w:szCs w:val="21"/>
          <w:highlight w:val="none"/>
          <w:lang w:val="en-US" w:eastAsia="zh-CN" w:bidi="ar-SA"/>
        </w:rPr>
        <w:outlineLvl w:val="9"/>
      </w:pPr>
      <w:r>
        <w:rPr>
          <w:rFonts w:hint="eastAsia" w:ascii="黑体" w:hAnsi="黑体" w:eastAsia="黑体" w:cs="黑体"/>
          <w:b w:val="0"/>
          <w:bCs/>
          <w:color w:val="auto"/>
          <w:sz w:val="21"/>
          <w:szCs w:val="21"/>
          <w:highlight w:val="none"/>
          <w:lang w:val="en-US" w:eastAsia="zh-CN" w:bidi="ar-SA"/>
        </w:rPr>
        <w:t xml:space="preserve">18. 保险</w:t>
      </w:r>
      <w:r/>
    </w:p>
    <w:p>
      <w:pPr>
        <w:ind w:firstLine="420"/>
        <w:spacing w:line="360" w:lineRule="auto"/>
        <w:widowControl/>
        <w:rPr>
          <w:rFonts w:hint="eastAsia" w:ascii="黑体" w:hAnsi="黑体" w:eastAsia="黑体" w:cs="黑体"/>
          <w:color w:val="auto"/>
          <w:szCs w:val="21"/>
          <w:highlight w:val="none"/>
        </w:rPr>
        <w:outlineLvl w:val="9"/>
      </w:pPr>
      <w:r>
        <w:rPr>
          <w:rFonts w:hint="eastAsia" w:ascii="黑体" w:hAnsi="黑体" w:eastAsia="黑体" w:cs="黑体"/>
          <w:color w:val="auto"/>
          <w:szCs w:val="21"/>
          <w:highlight w:val="none"/>
        </w:rPr>
        <w:t xml:space="preserve">18.3 其他保险</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关于其他保险的约定：</w:t>
      </w:r>
      <w:r>
        <w:rPr>
          <w:rFonts w:hint="eastAsia" w:ascii="黑体" w:hAnsi="黑体" w:eastAsia="黑体" w:cs="黑体"/>
          <w:color w:val="auto"/>
          <w:szCs w:val="21"/>
          <w:highlight w:val="none"/>
          <w:u w:val="single"/>
        </w:rPr>
        <w:t xml:space="preserve">承包人应为其施工现场的全部人员办理意外伤害保险并支付保险费，包括其员工及为履行合同聘请的第三方的人员，若发生安全事故造成的一切人身伤害(包括第三人) 和经济损失均由承包人承担 </w:t>
      </w:r>
      <w:r>
        <w:rPr>
          <w:rFonts w:hint="eastAsia" w:ascii="黑体" w:hAnsi="黑体" w:eastAsia="黑体" w:cs="黑体"/>
          <w:color w:val="auto"/>
          <w:szCs w:val="21"/>
          <w:highlight w:val="none"/>
        </w:rPr>
        <w:t xml:space="preserve">。</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承包人是否应为其施工设备等办理财产保险：</w:t>
      </w:r>
      <w:r>
        <w:rPr>
          <w:rFonts w:hint="eastAsia" w:ascii="黑体" w:hAnsi="黑体" w:eastAsia="黑体" w:cs="黑体"/>
          <w:color w:val="auto"/>
          <w:szCs w:val="21"/>
          <w:highlight w:val="none"/>
          <w:u w:val="single"/>
        </w:rPr>
        <w:t xml:space="preserve">  是  </w:t>
      </w:r>
      <w:r>
        <w:rPr>
          <w:rFonts w:hint="eastAsia" w:ascii="黑体" w:hAnsi="黑体" w:eastAsia="黑体" w:cs="黑体"/>
          <w:color w:val="auto"/>
          <w:szCs w:val="21"/>
          <w:highlight w:val="none"/>
        </w:rPr>
        <w:t xml:space="preserve">。</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18.7 通知义务</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关于变更保险合同时的通知义务的约定：</w:t>
      </w:r>
      <w:r>
        <w:rPr>
          <w:rFonts w:hint="eastAsia" w:ascii="黑体" w:hAnsi="黑体" w:eastAsia="黑体" w:cs="黑体"/>
          <w:color w:val="auto"/>
          <w:szCs w:val="21"/>
          <w:highlight w:val="none"/>
          <w:u w:val="single"/>
        </w:rPr>
        <w:t xml:space="preserve">   执行通用条款  </w:t>
      </w:r>
      <w:r>
        <w:rPr>
          <w:rFonts w:hint="eastAsia" w:ascii="黑体" w:hAnsi="黑体" w:eastAsia="黑体" w:cs="黑体"/>
          <w:color w:val="auto"/>
          <w:szCs w:val="21"/>
          <w:highlight w:val="none"/>
        </w:rPr>
        <w:t xml:space="preserve">。</w:t>
      </w:r>
      <w:r/>
    </w:p>
    <w:p>
      <w:pPr>
        <w:jc w:val="both"/>
        <w:keepLines/>
        <w:keepNext/>
        <w:spacing w:before="0" w:after="0" w:line="360" w:lineRule="auto"/>
        <w:rPr>
          <w:rFonts w:hint="eastAsia" w:ascii="黑体" w:hAnsi="黑体" w:eastAsia="黑体" w:cs="黑体"/>
          <w:b w:val="0"/>
          <w:bCs/>
          <w:color w:val="auto"/>
          <w:sz w:val="21"/>
          <w:szCs w:val="21"/>
          <w:highlight w:val="none"/>
          <w:lang w:val="en-US" w:eastAsia="zh-CN" w:bidi="ar-SA"/>
        </w:rPr>
        <w:outlineLvl w:val="9"/>
      </w:pPr>
      <w:r>
        <w:rPr>
          <w:rFonts w:hint="eastAsia" w:ascii="黑体" w:hAnsi="黑体" w:eastAsia="黑体" w:cs="黑体"/>
          <w:b w:val="0"/>
          <w:bCs/>
          <w:color w:val="auto"/>
          <w:sz w:val="21"/>
          <w:szCs w:val="21"/>
          <w:highlight w:val="none"/>
          <w:lang w:val="en-US" w:eastAsia="zh-CN" w:bidi="ar-SA"/>
        </w:rPr>
        <w:t xml:space="preserve">18. 争议解决</w:t>
      </w:r>
      <w:r/>
    </w:p>
    <w:p>
      <w:pPr>
        <w:ind w:firstLine="420"/>
        <w:spacing w:line="360" w:lineRule="auto"/>
        <w:widowControl/>
        <w:rPr>
          <w:rFonts w:hint="eastAsia" w:ascii="黑体" w:hAnsi="黑体" w:eastAsia="黑体" w:cs="黑体"/>
          <w:color w:val="auto"/>
          <w:szCs w:val="21"/>
          <w:highlight w:val="none"/>
        </w:rPr>
        <w:outlineLvl w:val="9"/>
      </w:pPr>
      <w:r>
        <w:rPr>
          <w:rFonts w:hint="eastAsia" w:ascii="黑体" w:hAnsi="黑体" w:eastAsia="黑体" w:cs="黑体"/>
          <w:color w:val="auto"/>
          <w:szCs w:val="21"/>
          <w:highlight w:val="none"/>
        </w:rPr>
        <w:t xml:space="preserve">18.2仲裁或诉讼</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因合同及合同有关事项发生的争议，按下列第</w:t>
      </w:r>
      <w:r>
        <w:rPr>
          <w:rFonts w:hint="eastAsia" w:ascii="黑体" w:hAnsi="黑体" w:eastAsia="黑体" w:cs="黑体"/>
          <w:color w:val="auto"/>
          <w:szCs w:val="21"/>
          <w:highlight w:val="none"/>
          <w:u w:val="single"/>
        </w:rPr>
        <w:t xml:space="preserve">  2  </w:t>
      </w:r>
      <w:r>
        <w:rPr>
          <w:rFonts w:hint="eastAsia" w:ascii="黑体" w:hAnsi="黑体" w:eastAsia="黑体" w:cs="黑体"/>
          <w:color w:val="auto"/>
          <w:szCs w:val="21"/>
          <w:highlight w:val="none"/>
        </w:rPr>
        <w:t xml:space="preserve">种方式解决：</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（1）向</w:t>
      </w:r>
      <w:r>
        <w:rPr>
          <w:rFonts w:hint="eastAsia" w:ascii="黑体" w:hAnsi="黑体" w:eastAsia="黑体" w:cs="黑体"/>
          <w:color w:val="auto"/>
          <w:szCs w:val="21"/>
          <w:highlight w:val="none"/>
          <w:u w:val="single"/>
        </w:rPr>
        <w:t xml:space="preserve">        /        </w:t>
      </w:r>
      <w:r>
        <w:rPr>
          <w:rFonts w:hint="eastAsia" w:ascii="黑体" w:hAnsi="黑体" w:eastAsia="黑体" w:cs="黑体"/>
          <w:color w:val="auto"/>
          <w:szCs w:val="21"/>
          <w:highlight w:val="none"/>
        </w:rPr>
        <w:t xml:space="preserve">仲裁委员会申请仲裁；</w:t>
      </w:r>
      <w:r/>
    </w:p>
    <w:p>
      <w:pPr>
        <w:ind w:firstLine="420"/>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（2）向</w:t>
      </w:r>
      <w:r>
        <w:rPr>
          <w:rFonts w:hint="eastAsia" w:ascii="黑体" w:hAnsi="黑体" w:eastAsia="黑体" w:cs="黑体"/>
          <w:color w:val="auto"/>
          <w:szCs w:val="21"/>
          <w:highlight w:val="none"/>
          <w:u w:val="single"/>
        </w:rPr>
        <w:t xml:space="preserve">       工程所在地     </w:t>
      </w:r>
      <w:r>
        <w:rPr>
          <w:rFonts w:hint="eastAsia" w:ascii="黑体" w:hAnsi="黑体" w:eastAsia="黑体" w:cs="黑体"/>
          <w:color w:val="auto"/>
          <w:szCs w:val="21"/>
          <w:highlight w:val="none"/>
        </w:rPr>
        <w:t xml:space="preserve">人民法院起诉。</w:t>
      </w:r>
      <w:r/>
    </w:p>
    <w:p>
      <w:pPr>
        <w:ind w:firstLine="422"/>
        <w:spacing w:line="360" w:lineRule="auto"/>
        <w:widowControl/>
        <w:rPr>
          <w:rFonts w:hint="eastAsia" w:ascii="黑体" w:hAnsi="黑体" w:eastAsia="黑体" w:cs="黑体"/>
          <w:b/>
          <w:color w:val="auto"/>
          <w:szCs w:val="21"/>
          <w:highlight w:val="none"/>
          <w:u w:val="single"/>
        </w:rPr>
      </w:pPr>
      <w:r>
        <w:rPr>
          <w:rFonts w:hint="eastAsia" w:ascii="黑体" w:hAnsi="黑体" w:eastAsia="黑体" w:cs="黑体"/>
          <w:b/>
          <w:color w:val="auto"/>
          <w:szCs w:val="21"/>
          <w:highlight w:val="none"/>
          <w:u w:val="single"/>
        </w:rPr>
        <w:t xml:space="preserve">21. 补充条款</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21.1本工程包含多条主干道，工程中标后招标方会组织中标方签署承诺书，依据徐城管发[2017]102号《徐州市城市管理局城建重点工程履约考核管理办法》对中标方进行考核。</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21.2不在养护施工范围内的各种路面、各种表井、井盖、各种管线、管网（地上、地下）、绿化等原有设施设备及建（构）筑物。如因施工造成损坏，由中标人负责修复。</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21.3</w:t>
      </w:r>
      <w:r>
        <w:rPr>
          <w:rFonts w:hint="eastAsia" w:ascii="黑体" w:hAnsi="黑体" w:eastAsia="黑体" w:cs="黑体"/>
          <w:color w:val="auto"/>
          <w:szCs w:val="21"/>
          <w:highlight w:val="none"/>
          <w:u w:val="single"/>
          <w:lang w:eastAsia="zh-CN"/>
        </w:rPr>
        <w:t xml:space="preserve">供应商</w:t>
      </w:r>
      <w:r>
        <w:rPr>
          <w:rFonts w:hint="eastAsia" w:ascii="黑体" w:hAnsi="黑体" w:eastAsia="黑体" w:cs="黑体"/>
          <w:color w:val="auto"/>
          <w:szCs w:val="21"/>
          <w:highlight w:val="none"/>
          <w:u w:val="single"/>
        </w:rPr>
        <w:t xml:space="preserve">已查看了现场周围环境，掌握了所有与工程施工有关或对施工有影响的情况，由这些因素产生的后果均由承包人负责。</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21.4 </w:t>
      </w:r>
      <w:r>
        <w:rPr>
          <w:rFonts w:hint="eastAsia" w:ascii="黑体" w:hAnsi="黑体" w:eastAsia="黑体" w:cs="黑体"/>
          <w:color w:val="auto"/>
          <w:szCs w:val="21"/>
          <w:highlight w:val="none"/>
          <w:u w:val="single"/>
          <w:lang w:eastAsia="zh-CN"/>
        </w:rPr>
        <w:t xml:space="preserve">供应商</w:t>
      </w:r>
      <w:r>
        <w:rPr>
          <w:rFonts w:hint="eastAsia" w:ascii="黑体" w:hAnsi="黑体" w:eastAsia="黑体" w:cs="黑体"/>
          <w:color w:val="auto"/>
          <w:szCs w:val="21"/>
          <w:highlight w:val="none"/>
          <w:u w:val="single"/>
        </w:rPr>
        <w:t xml:space="preserve">要对周围环境及各种影响施工的不利因素有充分了解和应对准备，施工期间要自行化解因施工对周围产生影响所造成的矛盾，并做好群众解释工作。因以上矛盾造成的误工，工期不予顺延。</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21.5投标报价应充分考虑施工场地狭窄对材料堆放、材料现场加工、安全设施搭建、标志指示牌的设置、施工对群众安全进出影响等，竣工结算不再对以上问题进行考虑。</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21.6施工方自行办理环保、交管、市政、渣土等部门的相关手续，费用按相关规定缴纳。</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21.7在本工程竣工时，承包人应把留在现场的所有施工设备和临时工程以及任何未使用过的材料撤离现场。发包人在任何时候对上述任何施工设备、临时工程或材料所受的损失或伤害概不负责。</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21.8因不可抗力或非乙方人为因素造成道路设施损坏需抢修或维修，发生的抢修费用，双方另行协商。</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21.9根据徐建重办[2015]20 号文件要求，为防止工程结算高估冒算，工程审减额若超过送审额的 7%以上（不含 7%），超出部分按审减额 5%给予扣款，发包人自工程款中扣罚。</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21.10甲乙双方管理人员以及相关其他人员在工程施工期间必须严格遵守廉洁从业规定。</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廉洁管理条款：承包人不得对发包人的工作人员有请吃、送礼行为。如有违反此规定除将违纪线索报有关纪检监察部门查处处理外，发包人将按下列标准扣减承包人应得的工程款。工程款竣工结算后被发现的，发包人有权向承包人按下列标准的金额追索罚款，且不受时效限制。</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(a)宴请或以其它方式提供消费的，按5，000元/次 。</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(b)所送礼品、现金、有价证券等，价值在5，000元以下的，按50，000元/次 。</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(c)所送礼品、现金、有价证券等，价值在5，000元以上的，按标段总造价的5%/次 。</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21.11承包人应遵守安全文明施工原则，承包人人员在现场施工过程中，如果发生意外人身伤亡、财务或其他事故及损失，以及因项目实施对第三人造成妨害带来的所有影响、损失，由承包人承担责任，与发包人无关。 </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21.12在现场工作的承包人人员，应遵守发包人的安全保卫及其他有关的规章制度，承担其资料保密义务。对于承包人因项目需要而掌握的发包人及有关部门和产权单位的涉密数据，承包人及其工作人员承担保密责任，不得泄漏给除发包人或其指定的代表之外的任何人、企业或公司，不管合同因何种原因终止，本条款一直约束承包人。如果承包人违反保密约定，发包人有权向承包人追回所支付的全部服务费用，并有权要求承包人向发包人支付合同价款的30%的违约金，同时承包人应承担全部经济损失和法律责任。</w:t>
      </w:r>
      <w:r/>
    </w:p>
    <w:p>
      <w:pPr>
        <w:ind w:firstLine="420"/>
        <w:spacing w:line="360"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lang w:val="en-US" w:eastAsia="zh-CN"/>
        </w:rPr>
        <w:t xml:space="preserve">21.13本项目验收按照《江苏省政府采购履约验收管理办法》执行，对履约验收发生的检测（检验）费、验收小组成员中的专业技术人员费用等支出，均由乙方承担，执行标准参照江苏省政府采购专家评审费，甲方不再支付其它任何费用。</w:t>
      </w:r>
      <w:r/>
    </w:p>
    <w:p>
      <w:pPr>
        <w:jc w:val="left"/>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p>
      <w:pPr>
        <w:jc w:val="left"/>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p>
      <w:pPr>
        <w:jc w:val="left"/>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p>
      <w:pPr>
        <w:jc w:val="left"/>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p>
      <w:pPr>
        <w:jc w:val="left"/>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p>
      <w:pPr>
        <w:jc w:val="left"/>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p>
      <w:pPr>
        <w:jc w:val="left"/>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p>
      <w:pPr>
        <w:jc w:val="left"/>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p>
      <w:pPr>
        <w:jc w:val="left"/>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p>
      <w:pPr>
        <w:jc w:val="left"/>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p>
      <w:pPr>
        <w:jc w:val="left"/>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专用合同条款附件：</w:t>
      </w:r>
      <w:r/>
    </w:p>
    <w:p>
      <w:pPr>
        <w:jc w:val="left"/>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附件1：工程质量保修书；</w:t>
      </w:r>
      <w:r/>
    </w:p>
    <w:p>
      <w:pPr>
        <w:jc w:val="left"/>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附件2：承包人用于本工程施工的机械设备表；</w:t>
      </w:r>
      <w:r/>
    </w:p>
    <w:p>
      <w:pPr>
        <w:jc w:val="left"/>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附件3：承包人主要施工管理人员表；</w:t>
      </w:r>
      <w:r/>
    </w:p>
    <w:p>
      <w:pPr>
        <w:jc w:val="left"/>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附件4：《</w:t>
      </w:r>
      <w:r>
        <w:rPr>
          <w:rFonts w:hint="eastAsia" w:ascii="黑体" w:hAnsi="黑体" w:eastAsia="黑体" w:cs="黑体"/>
          <w:color w:val="auto"/>
          <w:szCs w:val="21"/>
          <w:highlight w:val="none"/>
          <w:lang w:val="en-US" w:eastAsia="zh-CN"/>
        </w:rPr>
        <w:t xml:space="preserve">徐州市市政管理中心养护维修工程日常考核管理办法（试行）</w:t>
      </w:r>
      <w:r>
        <w:rPr>
          <w:rFonts w:hint="eastAsia" w:ascii="黑体" w:hAnsi="黑体" w:eastAsia="黑体" w:cs="黑体"/>
          <w:color w:val="auto"/>
          <w:szCs w:val="21"/>
          <w:highlight w:val="none"/>
        </w:rPr>
        <w:t xml:space="preserve">》</w:t>
      </w:r>
      <w:r/>
    </w:p>
    <w:p>
      <w:pPr>
        <w:jc w:val="both"/>
        <w:spacing w:line="360" w:lineRule="auto"/>
        <w:widowControl w:val="off"/>
        <w:rPr>
          <w:rFonts w:hint="eastAsia" w:ascii="黑体" w:hAnsi="黑体" w:eastAsia="黑体" w:cs="黑体"/>
          <w:color w:val="auto"/>
          <w:sz w:val="21"/>
          <w:highlight w:val="none"/>
          <w:lang w:val="en-US" w:eastAsia="zh-CN" w:bidi="ar-SA"/>
        </w:rPr>
      </w:pPr>
      <w:r>
        <w:rPr>
          <w:rFonts w:hint="eastAsia" w:ascii="黑体" w:hAnsi="黑体" w:eastAsia="黑体" w:cs="黑体"/>
          <w:color w:val="auto"/>
          <w:sz w:val="21"/>
          <w:highlight w:val="none"/>
          <w:lang w:val="en-US" w:eastAsia="zh-CN" w:bidi="ar-SA"/>
        </w:rPr>
      </w:r>
      <w:r/>
    </w:p>
    <w:p>
      <w:pPr>
        <w:spacing w:line="360" w:lineRule="auto"/>
        <w:widowControl/>
        <w:rPr>
          <w:rFonts w:hint="eastAsia" w:ascii="黑体" w:hAnsi="黑体" w:eastAsia="黑体" w:cs="黑体"/>
          <w:color w:val="auto"/>
          <w:sz w:val="22"/>
          <w:szCs w:val="22"/>
          <w:highlight w:val="none"/>
        </w:rPr>
      </w:pPr>
      <w:r>
        <w:rPr>
          <w:rFonts w:hint="eastAsia" w:ascii="黑体" w:hAnsi="黑体" w:eastAsia="黑体" w:cs="黑体"/>
          <w:color w:val="auto"/>
          <w:sz w:val="24"/>
          <w:szCs w:val="24"/>
          <w:highlight w:val="none"/>
        </w:rPr>
        <w:br w:type="page" w:clear="all"/>
      </w:r>
      <w:r>
        <w:rPr>
          <w:rFonts w:hint="eastAsia" w:ascii="黑体" w:hAnsi="黑体" w:eastAsia="黑体" w:cs="黑体"/>
          <w:color w:val="auto"/>
          <w:sz w:val="24"/>
          <w:szCs w:val="24"/>
          <w:highlight w:val="none"/>
        </w:rPr>
        <w:t xml:space="preserve">附</w:t>
      </w:r>
      <w:bookmarkStart w:id="113" w:name="_Toc296891265"/>
      <w:r/>
      <w:bookmarkStart w:id="114" w:name="_Toc296944564"/>
      <w:r/>
      <w:bookmarkStart w:id="115" w:name="_Toc296891053"/>
      <w:r/>
      <w:bookmarkStart w:id="116" w:name="_Toc296347224"/>
      <w:r/>
      <w:bookmarkStart w:id="117" w:name="_Toc296346726"/>
      <w:r/>
      <w:bookmarkStart w:id="118" w:name="_Toc267261692"/>
      <w:r/>
      <w:bookmarkStart w:id="119" w:name="_Toc296503225"/>
      <w:r>
        <w:rPr>
          <w:rFonts w:hint="eastAsia" w:ascii="黑体" w:hAnsi="黑体" w:eastAsia="黑体" w:cs="黑体"/>
          <w:color w:val="auto"/>
          <w:sz w:val="24"/>
          <w:szCs w:val="24"/>
          <w:highlight w:val="none"/>
        </w:rPr>
        <w:t xml:space="preserve">件</w:t>
      </w:r>
      <w:r>
        <w:rPr>
          <w:rFonts w:hint="eastAsia" w:ascii="黑体" w:hAnsi="黑体" w:eastAsia="黑体" w:cs="黑体"/>
          <w:color w:val="auto"/>
          <w:sz w:val="24"/>
          <w:szCs w:val="24"/>
          <w:highlight w:val="none"/>
          <w:lang w:val="en-US" w:eastAsia="zh-CN"/>
        </w:rPr>
        <w:t xml:space="preserve">1</w:t>
      </w:r>
      <w:r>
        <w:rPr>
          <w:rFonts w:hint="eastAsia" w:ascii="黑体" w:hAnsi="黑体" w:eastAsia="黑体" w:cs="黑体"/>
          <w:color w:val="auto"/>
          <w:sz w:val="24"/>
          <w:szCs w:val="24"/>
          <w:highlight w:val="none"/>
        </w:rPr>
        <w:t xml:space="preserve">：</w:t>
      </w:r>
      <w:bookmarkEnd w:id="113"/>
      <w:r/>
      <w:bookmarkEnd w:id="114"/>
      <w:r/>
      <w:bookmarkEnd w:id="115"/>
      <w:r/>
      <w:bookmarkEnd w:id="116"/>
      <w:r/>
      <w:bookmarkEnd w:id="117"/>
      <w:r/>
      <w:bookmarkEnd w:id="118"/>
      <w:r/>
      <w:bookmarkEnd w:id="119"/>
      <w:r/>
      <w:r/>
    </w:p>
    <w:p>
      <w:pPr>
        <w:jc w:val="center"/>
        <w:keepLines w:val="0"/>
        <w:keepNext w:val="0"/>
        <w:pageBreakBefore w:val="0"/>
        <w:spacing w:line="288"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工程质量保修书</w:t>
      </w:r>
      <w:r/>
    </w:p>
    <w:p>
      <w:pPr>
        <w:ind w:firstLine="420"/>
        <w:keepLines w:val="0"/>
        <w:keepNext w:val="0"/>
        <w:pageBreakBefore w:val="0"/>
        <w:spacing w:line="288"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发包人（全称）：</w:t>
      </w:r>
      <w:r>
        <w:rPr>
          <w:rFonts w:hint="eastAsia" w:ascii="黑体" w:hAnsi="黑体" w:eastAsia="黑体" w:cs="黑体"/>
          <w:color w:val="auto"/>
          <w:szCs w:val="21"/>
          <w:highlight w:val="none"/>
          <w:u w:val="single"/>
        </w:rPr>
        <w:t xml:space="preserve">徐州市市政管理中心</w:t>
      </w:r>
      <w:r/>
    </w:p>
    <w:p>
      <w:pPr>
        <w:keepLines w:val="0"/>
        <w:keepNext w:val="0"/>
        <w:pageBreakBefore w:val="0"/>
        <w:spacing w:line="288"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承包人（全称）：</w:t>
      </w:r>
      <w:r/>
    </w:p>
    <w:p>
      <w:pPr>
        <w:keepLines w:val="0"/>
        <w:keepNext w:val="0"/>
        <w:pageBreakBefore w:val="0"/>
        <w:spacing w:line="288"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rPr>
        <w:t xml:space="preserve">　　发包人和承包人根据《中华人民共和国建筑法》和《建设工程质量管理条例》，经协商一致就</w:t>
      </w:r>
      <w:r>
        <w:rPr>
          <w:rFonts w:hint="eastAsia" w:ascii="黑体" w:hAnsi="黑体" w:eastAsia="黑体" w:cs="黑体"/>
          <w:color w:val="auto"/>
          <w:szCs w:val="21"/>
          <w:highlight w:val="none"/>
          <w:u w:val="single"/>
          <w:lang w:eastAsia="zh-CN"/>
        </w:rPr>
        <w:t xml:space="preserve">2026年度市管道路零星沟槽修复工程</w:t>
      </w:r>
      <w:r>
        <w:rPr>
          <w:rFonts w:hint="eastAsia" w:ascii="黑体" w:hAnsi="黑体" w:eastAsia="黑体" w:cs="黑体"/>
          <w:color w:val="auto"/>
          <w:szCs w:val="21"/>
          <w:highlight w:val="none"/>
        </w:rPr>
        <w:t xml:space="preserve">（工程全称）</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标段）签订工程质量保修书。</w:t>
      </w:r>
      <w:r/>
    </w:p>
    <w:p>
      <w:pPr>
        <w:keepLines w:val="0"/>
        <w:keepNext w:val="0"/>
        <w:pageBreakBefore w:val="0"/>
        <w:spacing w:line="288"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一、工程质量保修范围和内容</w:t>
      </w:r>
      <w:r/>
    </w:p>
    <w:p>
      <w:pPr>
        <w:keepLines w:val="0"/>
        <w:keepNext w:val="0"/>
        <w:pageBreakBefore w:val="0"/>
        <w:spacing w:line="288"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承包人在质量保修期内，按照有关法律规定和合同约定，承担工程质量保修责任。</w:t>
      </w:r>
      <w:r/>
    </w:p>
    <w:p>
      <w:pPr>
        <w:keepLines w:val="0"/>
        <w:keepNext w:val="0"/>
        <w:pageBreakBefore w:val="0"/>
        <w:spacing w:line="288"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具体保修的内容，双方约定如下：</w:t>
      </w:r>
      <w:r/>
    </w:p>
    <w:p>
      <w:pPr>
        <w:keepLines w:val="0"/>
        <w:keepNext w:val="0"/>
        <w:pageBreakBefore w:val="0"/>
        <w:spacing w:line="288"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rPr>
        <w:t xml:space="preserve">　　</w:t>
      </w:r>
      <w:r>
        <w:rPr>
          <w:rFonts w:hint="eastAsia" w:ascii="黑体" w:hAnsi="黑体" w:eastAsia="黑体" w:cs="黑体"/>
          <w:color w:val="auto"/>
          <w:szCs w:val="21"/>
          <w:highlight w:val="none"/>
          <w:u w:val="single"/>
        </w:rPr>
        <w:t xml:space="preserve">承包人实施的全部工程，详见工程量清单所含全部内容。</w:t>
      </w:r>
      <w:r/>
    </w:p>
    <w:p>
      <w:pPr>
        <w:keepLines w:val="0"/>
        <w:keepNext w:val="0"/>
        <w:pageBreakBefore w:val="0"/>
        <w:spacing w:line="288"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二、质量保修期</w:t>
      </w:r>
      <w:r/>
    </w:p>
    <w:p>
      <w:pPr>
        <w:ind w:firstLine="420"/>
        <w:keepLines w:val="0"/>
        <w:keepNext w:val="0"/>
        <w:pageBreakBefore w:val="0"/>
        <w:spacing w:line="288"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根据《建设工程质量管理条例》及有关规定，工程的质量保修期如下：</w:t>
      </w:r>
      <w:r/>
    </w:p>
    <w:p>
      <w:pPr>
        <w:ind w:firstLine="420"/>
        <w:keepLines w:val="0"/>
        <w:keepNext w:val="0"/>
        <w:pageBreakBefore w:val="0"/>
        <w:spacing w:line="288"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本工程保修期为 2  年；质量保修期自竣工验收合格、办理交付使用之日起计算 。</w:t>
      </w:r>
      <w:r/>
    </w:p>
    <w:p>
      <w:pPr>
        <w:keepLines w:val="0"/>
        <w:keepNext w:val="0"/>
        <w:pageBreakBefore w:val="0"/>
        <w:spacing w:line="288"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三、缺陷责任期</w:t>
      </w:r>
      <w:r/>
    </w:p>
    <w:p>
      <w:pPr>
        <w:ind w:firstLine="420"/>
        <w:keepLines w:val="0"/>
        <w:keepNext w:val="0"/>
        <w:pageBreakBefore w:val="0"/>
        <w:spacing w:line="288"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工程缺陷责任期为 </w:t>
      </w:r>
      <w:r>
        <w:rPr>
          <w:rFonts w:hint="eastAsia" w:ascii="黑体" w:hAnsi="黑体" w:eastAsia="黑体" w:cs="黑体"/>
          <w:color w:val="auto"/>
          <w:szCs w:val="21"/>
          <w:highlight w:val="none"/>
          <w:u w:val="single"/>
        </w:rPr>
        <w:t xml:space="preserve">24  </w:t>
      </w:r>
      <w:r>
        <w:rPr>
          <w:rFonts w:hint="eastAsia" w:ascii="黑体" w:hAnsi="黑体" w:eastAsia="黑体" w:cs="黑体"/>
          <w:color w:val="auto"/>
          <w:szCs w:val="21"/>
          <w:highlight w:val="none"/>
        </w:rPr>
        <w:t xml:space="preserve">个月，缺陷责任期自工程实际竣工之日起计算。单位工程先于全部工程进行验收，单位工程缺陷责任期自单位工程验收合格之日起算。</w:t>
      </w:r>
      <w:r/>
    </w:p>
    <w:p>
      <w:pPr>
        <w:keepLines w:val="0"/>
        <w:keepNext w:val="0"/>
        <w:pageBreakBefore w:val="0"/>
        <w:spacing w:line="288"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四、质量保修责任</w:t>
      </w:r>
      <w:r/>
    </w:p>
    <w:p>
      <w:pPr>
        <w:ind w:firstLine="420"/>
        <w:keepLines w:val="0"/>
        <w:keepNext w:val="0"/>
        <w:pageBreakBefore w:val="0"/>
        <w:spacing w:line="288"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1、属于保修范围、内容的项目，承包人应当在接到保修通知之日起6小时内派人保修。承包人不在约定期限内派人保修的，发包人可以委托他人修理。</w:t>
      </w:r>
      <w:r/>
    </w:p>
    <w:p>
      <w:pPr>
        <w:ind w:firstLine="420"/>
        <w:keepLines w:val="0"/>
        <w:keepNext w:val="0"/>
        <w:pageBreakBefore w:val="0"/>
        <w:spacing w:line="288"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2、发生紧急事故需抢修的，承包人在接到事故通知后，应当立即到达事故现场抢修。</w:t>
      </w:r>
      <w:r/>
    </w:p>
    <w:p>
      <w:pPr>
        <w:ind w:firstLine="420"/>
        <w:keepLines w:val="0"/>
        <w:keepNext w:val="0"/>
        <w:pageBreakBefore w:val="0"/>
        <w:spacing w:line="288"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keepLines w:val="0"/>
        <w:keepNext w:val="0"/>
        <w:pageBreakBefore w:val="0"/>
        <w:spacing w:line="288"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4、质量保修完成后，由发包人组织验收。</w:t>
      </w:r>
      <w:r/>
    </w:p>
    <w:p>
      <w:pPr>
        <w:keepLines w:val="0"/>
        <w:keepNext w:val="0"/>
        <w:pageBreakBefore w:val="0"/>
        <w:spacing w:line="288"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五、保修费用</w:t>
      </w:r>
      <w:r/>
    </w:p>
    <w:p>
      <w:pPr>
        <w:ind w:firstLine="420"/>
        <w:keepLines w:val="0"/>
        <w:keepNext w:val="0"/>
        <w:pageBreakBefore w:val="0"/>
        <w:spacing w:line="288"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保修费用由造成质量缺陷的责任方承担。</w:t>
      </w:r>
      <w:r/>
    </w:p>
    <w:p>
      <w:pPr>
        <w:jc w:val="left"/>
        <w:keepLines w:val="0"/>
        <w:keepNext w:val="0"/>
        <w:pageBreakBefore w:val="0"/>
        <w:spacing w:line="288" w:lineRule="auto"/>
        <w:widowControl/>
        <w:rPr>
          <w:rFonts w:hint="eastAsia" w:ascii="黑体" w:hAnsi="黑体" w:eastAsia="黑体" w:cs="黑体"/>
          <w:color w:val="auto"/>
          <w:szCs w:val="21"/>
          <w:highlight w:val="none"/>
        </w:rPr>
      </w:pPr>
      <w:r>
        <w:rPr>
          <w:rFonts w:hint="eastAsia" w:ascii="黑体" w:hAnsi="黑体" w:eastAsia="黑体" w:cs="黑体"/>
          <w:bCs/>
          <w:color w:val="auto"/>
          <w:szCs w:val="21"/>
          <w:highlight w:val="none"/>
        </w:rPr>
        <w:t xml:space="preserve">六</w:t>
      </w:r>
      <w:r>
        <w:rPr>
          <w:rFonts w:hint="eastAsia" w:ascii="黑体" w:hAnsi="黑体" w:eastAsia="黑体" w:cs="黑体"/>
          <w:color w:val="auto"/>
          <w:szCs w:val="21"/>
          <w:highlight w:val="none"/>
        </w:rPr>
        <w:t xml:space="preserve">、双方约定的其他工程质量保修事项：</w:t>
      </w:r>
      <w:r/>
    </w:p>
    <w:p>
      <w:pPr>
        <w:ind w:firstLine="420"/>
        <w:jc w:val="left"/>
        <w:keepLines w:val="0"/>
        <w:keepNext w:val="0"/>
        <w:pageBreakBefore w:val="0"/>
        <w:spacing w:line="288"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1）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w:t>
      </w:r>
      <w:r/>
    </w:p>
    <w:p>
      <w:pPr>
        <w:ind w:firstLine="420"/>
        <w:jc w:val="left"/>
        <w:keepLines w:val="0"/>
        <w:keepNext w:val="0"/>
        <w:pageBreakBefore w:val="0"/>
        <w:spacing w:line="288" w:lineRule="auto"/>
        <w:widowControl/>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t xml:space="preserve">（2）如因承包人的责任，造成直接或间接损失，由承包人负责赔偿。 </w:t>
      </w:r>
      <w:r/>
    </w:p>
    <w:p>
      <w:pPr>
        <w:ind w:firstLine="399"/>
        <w:keepLines w:val="0"/>
        <w:keepNext w:val="0"/>
        <w:pageBreakBefore w:val="0"/>
        <w:spacing w:line="288"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工程质量保修书由发包人、承包人在工程竣工验收前共同签署，作为施工合同附件，其有效期限至保修期满。</w:t>
      </w:r>
      <w:r/>
    </w:p>
    <w:p>
      <w:pPr>
        <w:keepLines w:val="0"/>
        <w:keepNext w:val="0"/>
        <w:pageBreakBefore w:val="0"/>
        <w:spacing w:line="288"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发包人(公章)：                          承包人(公章)：</w:t>
      </w:r>
      <w:r/>
    </w:p>
    <w:p>
      <w:pPr>
        <w:keepLines w:val="0"/>
        <w:keepNext w:val="0"/>
        <w:pageBreakBefore w:val="0"/>
        <w:spacing w:line="288"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日期：  年  月  日                      日期：  年  月  日 </w:t>
      </w:r>
      <w:r/>
    </w:p>
    <w:p>
      <w:pPr>
        <w:keepLines w:val="0"/>
        <w:keepNext w:val="0"/>
        <w:pageBreakBefore w:val="0"/>
        <w:spacing w:line="288"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法定代表人(签字)：                      法定代表人(签字)：</w:t>
      </w:r>
      <w:r/>
    </w:p>
    <w:p>
      <w:pP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委托代理人(签字)：                      委托代理人(签字)：</w:t>
      </w:r>
      <w:r>
        <w:rPr>
          <w:rFonts w:hint="eastAsia" w:ascii="黑体" w:hAnsi="黑体" w:eastAsia="黑体" w:cs="黑体"/>
          <w:b/>
          <w:color w:val="auto"/>
          <w:sz w:val="24"/>
          <w:szCs w:val="24"/>
          <w:highlight w:val="none"/>
        </w:rPr>
        <w:br w:type="page" w:clear="all"/>
      </w:r>
      <w:r>
        <w:rPr>
          <w:rFonts w:hint="eastAsia" w:ascii="黑体" w:hAnsi="黑体" w:eastAsia="黑体" w:cs="黑体"/>
          <w:color w:val="auto"/>
          <w:szCs w:val="21"/>
          <w:highlight w:val="none"/>
        </w:rPr>
        <w:t xml:space="preserve">附件2：</w:t>
      </w:r>
      <w:r/>
    </w:p>
    <w:p>
      <w:pPr>
        <w:jc w:val="cente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承包人用于本工程施工的机械设备表</w:t>
      </w:r>
      <w:r/>
    </w:p>
    <w:tbl>
      <w:tblPr>
        <w:tblStyle w:val="1039"/>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jc w:val="center"/>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序号</w:t>
            </w:r>
            <w:r/>
          </w:p>
        </w:tc>
        <w:tc>
          <w:tcPr>
            <w:tcBorders>
              <w:top w:val="single" w:color="auto" w:sz="12" w:space="0"/>
              <w:bottom w:val="single" w:color="auto" w:sz="6" w:space="0"/>
            </w:tcBorders>
            <w:tcW w:w="1418" w:type="dxa"/>
            <w:vAlign w:val="center"/>
            <w:textDirection w:val="lrTb"/>
            <w:noWrap w:val="false"/>
          </w:tcPr>
          <w:p>
            <w:pPr>
              <w:jc w:val="center"/>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机械或设备名称</w:t>
            </w:r>
            <w:r/>
          </w:p>
        </w:tc>
        <w:tc>
          <w:tcPr>
            <w:tcBorders>
              <w:top w:val="single" w:color="auto" w:sz="12" w:space="0"/>
              <w:bottom w:val="single" w:color="auto" w:sz="6" w:space="0"/>
            </w:tcBorders>
            <w:tcW w:w="850" w:type="dxa"/>
            <w:vAlign w:val="center"/>
            <w:textDirection w:val="lrTb"/>
            <w:noWrap w:val="false"/>
          </w:tcPr>
          <w:p>
            <w:pPr>
              <w:jc w:val="center"/>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规格型号</w:t>
            </w:r>
            <w:r/>
          </w:p>
        </w:tc>
        <w:tc>
          <w:tcPr>
            <w:tcBorders>
              <w:top w:val="single" w:color="auto" w:sz="12" w:space="0"/>
              <w:bottom w:val="single" w:color="auto" w:sz="6" w:space="0"/>
            </w:tcBorders>
            <w:tcW w:w="1058" w:type="dxa"/>
            <w:vAlign w:val="center"/>
            <w:textDirection w:val="lrTb"/>
            <w:noWrap w:val="false"/>
          </w:tcPr>
          <w:p>
            <w:pPr>
              <w:jc w:val="center"/>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数量</w:t>
            </w:r>
            <w:r/>
          </w:p>
        </w:tc>
        <w:tc>
          <w:tcPr>
            <w:tcBorders>
              <w:top w:val="single" w:color="auto" w:sz="12" w:space="0"/>
              <w:bottom w:val="single" w:color="auto" w:sz="6" w:space="0"/>
            </w:tcBorders>
            <w:tcW w:w="880" w:type="dxa"/>
            <w:vAlign w:val="center"/>
            <w:textDirection w:val="lrTb"/>
            <w:noWrap w:val="false"/>
          </w:tcPr>
          <w:p>
            <w:pPr>
              <w:jc w:val="center"/>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产地</w:t>
            </w:r>
            <w:r/>
          </w:p>
        </w:tc>
        <w:tc>
          <w:tcPr>
            <w:tcBorders>
              <w:top w:val="single" w:color="auto" w:sz="12" w:space="0"/>
              <w:bottom w:val="single" w:color="auto" w:sz="6" w:space="0"/>
            </w:tcBorders>
            <w:tcW w:w="1020" w:type="dxa"/>
            <w:vAlign w:val="center"/>
            <w:textDirection w:val="lrTb"/>
            <w:noWrap w:val="false"/>
          </w:tcPr>
          <w:p>
            <w:pPr>
              <w:jc w:val="center"/>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制造年份</w:t>
            </w:r>
            <w:r/>
          </w:p>
        </w:tc>
        <w:tc>
          <w:tcPr>
            <w:tcBorders>
              <w:top w:val="single" w:color="auto" w:sz="12" w:space="0"/>
              <w:bottom w:val="single" w:color="auto" w:sz="6" w:space="0"/>
            </w:tcBorders>
            <w:tcW w:w="1480" w:type="dxa"/>
            <w:vAlign w:val="center"/>
            <w:textDirection w:val="lrTb"/>
            <w:noWrap w:val="false"/>
          </w:tcPr>
          <w:p>
            <w:pPr>
              <w:jc w:val="center"/>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额定功率(kW)</w:t>
            </w:r>
            <w:r/>
          </w:p>
        </w:tc>
        <w:tc>
          <w:tcPr>
            <w:tcBorders>
              <w:top w:val="single" w:color="auto" w:sz="12" w:space="0"/>
              <w:bottom w:val="single" w:color="auto" w:sz="6" w:space="0"/>
            </w:tcBorders>
            <w:tcW w:w="1020" w:type="dxa"/>
            <w:vAlign w:val="center"/>
            <w:textDirection w:val="lrTb"/>
            <w:noWrap w:val="false"/>
          </w:tcPr>
          <w:p>
            <w:pPr>
              <w:jc w:val="center"/>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生产能力</w:t>
            </w:r>
            <w:r/>
          </w:p>
        </w:tc>
        <w:tc>
          <w:tcPr>
            <w:tcBorders>
              <w:top w:val="single" w:color="auto" w:sz="12" w:space="0"/>
              <w:bottom w:val="single" w:color="auto" w:sz="6" w:space="0"/>
            </w:tcBorders>
            <w:tcW w:w="921" w:type="dxa"/>
            <w:vAlign w:val="center"/>
            <w:textDirection w:val="lrTb"/>
            <w:noWrap w:val="false"/>
          </w:tcPr>
          <w:p>
            <w:pPr>
              <w:jc w:val="center"/>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ind w:left="60" w:right="60"/>
              <w:jc w:val="left"/>
              <w:keepNext/>
              <w:spacing w:after="12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Borders>
              <w:top w:val="single" w:color="auto" w:sz="6" w:space="0"/>
              <w:bottom w:val="single" w:color="auto" w:sz="6" w:space="0"/>
            </w:tcBorders>
            <w:tcW w:w="1418" w:type="dxa"/>
            <w:vAlign w:val="center"/>
            <w:textDirection w:val="lrTb"/>
            <w:noWrap w:val="false"/>
          </w:tcPr>
          <w:p>
            <w:pPr>
              <w:ind w:left="60" w:right="60"/>
              <w:jc w:val="left"/>
              <w:keepNext/>
              <w:spacing w:after="12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Borders>
              <w:top w:val="single" w:color="auto" w:sz="6" w:space="0"/>
              <w:bottom w:val="single" w:color="auto" w:sz="6" w:space="0"/>
            </w:tcBorders>
            <w:tcW w:w="850" w:type="dxa"/>
            <w:vAlign w:val="center"/>
            <w:textDirection w:val="lrTb"/>
            <w:noWrap w:val="false"/>
          </w:tcPr>
          <w:p>
            <w:pPr>
              <w:ind w:left="60" w:right="60"/>
              <w:jc w:val="left"/>
              <w:keepNext/>
              <w:spacing w:after="12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Borders>
              <w:top w:val="single" w:color="auto" w:sz="6" w:space="0"/>
              <w:bottom w:val="single" w:color="auto" w:sz="6" w:space="0"/>
            </w:tcBorders>
            <w:tcW w:w="1058" w:type="dxa"/>
            <w:vAlign w:val="center"/>
            <w:textDirection w:val="lrTb"/>
            <w:noWrap w:val="false"/>
          </w:tcPr>
          <w:p>
            <w:pPr>
              <w:ind w:left="60" w:right="60"/>
              <w:jc w:val="left"/>
              <w:keepNext/>
              <w:spacing w:after="12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Borders>
              <w:top w:val="single" w:color="auto" w:sz="6" w:space="0"/>
              <w:bottom w:val="single" w:color="auto" w:sz="6" w:space="0"/>
            </w:tcBorders>
            <w:tcW w:w="880" w:type="dxa"/>
            <w:vAlign w:val="center"/>
            <w:textDirection w:val="lrTb"/>
            <w:noWrap w:val="false"/>
          </w:tcPr>
          <w:p>
            <w:pPr>
              <w:ind w:left="60" w:right="60"/>
              <w:jc w:val="left"/>
              <w:keepNext/>
              <w:spacing w:after="12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Borders>
              <w:top w:val="single" w:color="auto" w:sz="6" w:space="0"/>
              <w:bottom w:val="single" w:color="auto" w:sz="6" w:space="0"/>
            </w:tcBorders>
            <w:tcW w:w="1020" w:type="dxa"/>
            <w:vAlign w:val="center"/>
            <w:textDirection w:val="lrTb"/>
            <w:noWrap w:val="false"/>
          </w:tcPr>
          <w:p>
            <w:pPr>
              <w:ind w:left="60" w:right="60"/>
              <w:jc w:val="left"/>
              <w:keepNext/>
              <w:spacing w:after="12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Borders>
              <w:top w:val="single" w:color="auto" w:sz="6" w:space="0"/>
              <w:bottom w:val="single" w:color="auto" w:sz="6" w:space="0"/>
            </w:tcBorders>
            <w:tcW w:w="1480" w:type="dxa"/>
            <w:vAlign w:val="center"/>
            <w:textDirection w:val="lrTb"/>
            <w:noWrap w:val="false"/>
          </w:tcPr>
          <w:p>
            <w:pPr>
              <w:ind w:left="60" w:right="60"/>
              <w:jc w:val="left"/>
              <w:keepNext/>
              <w:spacing w:after="12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Borders>
              <w:top w:val="single" w:color="auto" w:sz="6" w:space="0"/>
              <w:bottom w:val="single" w:color="auto" w:sz="6" w:space="0"/>
            </w:tcBorders>
            <w:tcW w:w="1020" w:type="dxa"/>
            <w:vAlign w:val="center"/>
            <w:textDirection w:val="lrTb"/>
            <w:noWrap w:val="false"/>
          </w:tcPr>
          <w:p>
            <w:pPr>
              <w:ind w:left="60" w:right="60"/>
              <w:jc w:val="left"/>
              <w:keepNext/>
              <w:spacing w:after="12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Borders>
              <w:top w:val="single" w:color="auto" w:sz="6" w:space="0"/>
              <w:bottom w:val="single" w:color="auto" w:sz="6" w:space="0"/>
            </w:tcBorders>
            <w:tcW w:w="921" w:type="dxa"/>
            <w:vAlign w:val="center"/>
            <w:textDirection w:val="lrTb"/>
            <w:noWrap w:val="false"/>
          </w:tcPr>
          <w:p>
            <w:pPr>
              <w:ind w:left="60" w:right="60"/>
              <w:jc w:val="left"/>
              <w:keepNext/>
              <w:spacing w:after="12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r>
      <w:tr>
        <w:trPr>
          <w:jc w:val="center"/>
          <w:trHeight w:val="567"/>
        </w:trPr>
        <w:tc>
          <w:tcPr>
            <w:tcBorders>
              <w:top w:val="none" w:color="000000" w:sz="4" w:space="0"/>
            </w:tcBorders>
            <w:tcW w:w="1162" w:type="dxa"/>
            <w:vAlign w:val="center"/>
            <w:textDirection w:val="lrTb"/>
            <w:noWrap w:val="false"/>
          </w:tcPr>
          <w:p>
            <w:pPr>
              <w:ind w:left="60" w:right="60"/>
              <w:jc w:val="left"/>
              <w:keepNext/>
              <w:spacing w:after="12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Borders>
              <w:top w:val="none" w:color="000000" w:sz="4" w:space="0"/>
            </w:tcBorders>
            <w:tcW w:w="1418" w:type="dxa"/>
            <w:vAlign w:val="center"/>
            <w:textDirection w:val="lrTb"/>
            <w:noWrap w:val="false"/>
          </w:tcPr>
          <w:p>
            <w:pPr>
              <w:ind w:left="60" w:right="60"/>
              <w:jc w:val="left"/>
              <w:keepNext/>
              <w:spacing w:after="12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Borders>
              <w:top w:val="none" w:color="000000" w:sz="4" w:space="0"/>
            </w:tcBorders>
            <w:tcW w:w="850" w:type="dxa"/>
            <w:vAlign w:val="center"/>
            <w:textDirection w:val="lrTb"/>
            <w:noWrap w:val="false"/>
          </w:tcPr>
          <w:p>
            <w:pPr>
              <w:ind w:left="60" w:right="60"/>
              <w:jc w:val="left"/>
              <w:keepNext/>
              <w:spacing w:after="12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Borders>
              <w:top w:val="none" w:color="000000" w:sz="4" w:space="0"/>
            </w:tcBorders>
            <w:tcW w:w="1058" w:type="dxa"/>
            <w:vAlign w:val="center"/>
            <w:textDirection w:val="lrTb"/>
            <w:noWrap w:val="false"/>
          </w:tcPr>
          <w:p>
            <w:pPr>
              <w:ind w:left="60" w:right="60"/>
              <w:jc w:val="left"/>
              <w:keepNext/>
              <w:spacing w:after="12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Borders>
              <w:top w:val="none" w:color="000000" w:sz="4" w:space="0"/>
            </w:tcBorders>
            <w:tcW w:w="880" w:type="dxa"/>
            <w:vAlign w:val="center"/>
            <w:textDirection w:val="lrTb"/>
            <w:noWrap w:val="false"/>
          </w:tcPr>
          <w:p>
            <w:pPr>
              <w:ind w:left="60" w:right="60"/>
              <w:jc w:val="left"/>
              <w:keepNext/>
              <w:spacing w:after="12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Borders>
              <w:top w:val="none" w:color="000000" w:sz="4" w:space="0"/>
            </w:tcBorders>
            <w:tcW w:w="1020" w:type="dxa"/>
            <w:vAlign w:val="center"/>
            <w:textDirection w:val="lrTb"/>
            <w:noWrap w:val="false"/>
          </w:tcPr>
          <w:p>
            <w:pPr>
              <w:ind w:left="60" w:right="60"/>
              <w:jc w:val="left"/>
              <w:keepNext/>
              <w:spacing w:after="12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Borders>
              <w:top w:val="none" w:color="000000" w:sz="4" w:space="0"/>
            </w:tcBorders>
            <w:tcW w:w="1480" w:type="dxa"/>
            <w:vAlign w:val="center"/>
            <w:textDirection w:val="lrTb"/>
            <w:noWrap w:val="false"/>
          </w:tcPr>
          <w:p>
            <w:pPr>
              <w:ind w:left="60" w:right="60"/>
              <w:jc w:val="left"/>
              <w:keepNext/>
              <w:spacing w:after="12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Borders>
              <w:top w:val="none" w:color="000000" w:sz="4" w:space="0"/>
            </w:tcBorders>
            <w:tcW w:w="1020" w:type="dxa"/>
            <w:vAlign w:val="center"/>
            <w:textDirection w:val="lrTb"/>
            <w:noWrap w:val="false"/>
          </w:tcPr>
          <w:p>
            <w:pPr>
              <w:ind w:left="60" w:right="60"/>
              <w:jc w:val="left"/>
              <w:keepNext/>
              <w:spacing w:after="12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Borders>
              <w:top w:val="none" w:color="000000" w:sz="4" w:space="0"/>
            </w:tcBorders>
            <w:tcW w:w="921" w:type="dxa"/>
            <w:vAlign w:val="center"/>
            <w:textDirection w:val="lrTb"/>
            <w:noWrap w:val="false"/>
          </w:tcPr>
          <w:p>
            <w:pPr>
              <w:ind w:left="60" w:right="60"/>
              <w:jc w:val="left"/>
              <w:keepNext/>
              <w:spacing w:after="12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r>
      <w:tr>
        <w:trPr>
          <w:jc w:val="center"/>
          <w:trHeight w:val="567"/>
        </w:trPr>
        <w:tc>
          <w:tcPr>
            <w:tcW w:w="1162" w:type="dxa"/>
            <w:vAlign w:val="center"/>
            <w:textDirection w:val="lrTb"/>
            <w:noWrap w:val="false"/>
          </w:tcPr>
          <w:p>
            <w:pPr>
              <w:ind w:left="60" w:right="60"/>
              <w:jc w:val="left"/>
              <w:keepNext/>
              <w:spacing w:after="12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1418" w:type="dxa"/>
            <w:vAlign w:val="center"/>
            <w:textDirection w:val="lrTb"/>
            <w:noWrap w:val="false"/>
          </w:tcPr>
          <w:p>
            <w:pPr>
              <w:ind w:left="60" w:right="60"/>
              <w:jc w:val="left"/>
              <w:keepNext/>
              <w:spacing w:after="12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850" w:type="dxa"/>
            <w:vAlign w:val="center"/>
            <w:textDirection w:val="lrTb"/>
            <w:noWrap w:val="false"/>
          </w:tcPr>
          <w:p>
            <w:pPr>
              <w:ind w:left="60" w:right="60"/>
              <w:jc w:val="left"/>
              <w:keepNext/>
              <w:spacing w:after="12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1058" w:type="dxa"/>
            <w:vAlign w:val="center"/>
            <w:textDirection w:val="lrTb"/>
            <w:noWrap w:val="false"/>
          </w:tcPr>
          <w:p>
            <w:pPr>
              <w:ind w:left="60" w:right="60"/>
              <w:jc w:val="left"/>
              <w:keepNext/>
              <w:spacing w:after="12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880" w:type="dxa"/>
            <w:vAlign w:val="center"/>
            <w:textDirection w:val="lrTb"/>
            <w:noWrap w:val="false"/>
          </w:tcPr>
          <w:p>
            <w:pPr>
              <w:ind w:left="60" w:right="60"/>
              <w:jc w:val="left"/>
              <w:keepNext/>
              <w:spacing w:after="12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1020" w:type="dxa"/>
            <w:vAlign w:val="center"/>
            <w:textDirection w:val="lrTb"/>
            <w:noWrap w:val="false"/>
          </w:tcPr>
          <w:p>
            <w:pPr>
              <w:ind w:left="60" w:right="60"/>
              <w:jc w:val="left"/>
              <w:keepNext/>
              <w:spacing w:after="12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1480" w:type="dxa"/>
            <w:vAlign w:val="center"/>
            <w:textDirection w:val="lrTb"/>
            <w:noWrap w:val="false"/>
          </w:tcPr>
          <w:p>
            <w:pPr>
              <w:ind w:left="60" w:right="60"/>
              <w:jc w:val="left"/>
              <w:keepNext/>
              <w:spacing w:after="12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1020" w:type="dxa"/>
            <w:vAlign w:val="center"/>
            <w:textDirection w:val="lrTb"/>
            <w:noWrap w:val="false"/>
          </w:tcPr>
          <w:p>
            <w:pPr>
              <w:ind w:left="60" w:right="60"/>
              <w:jc w:val="left"/>
              <w:keepNext/>
              <w:spacing w:after="12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921" w:type="dxa"/>
            <w:vAlign w:val="center"/>
            <w:textDirection w:val="lrTb"/>
            <w:noWrap w:val="false"/>
          </w:tcPr>
          <w:p>
            <w:pPr>
              <w:ind w:left="60" w:right="60"/>
              <w:jc w:val="left"/>
              <w:keepNext/>
              <w:spacing w:after="12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r>
      <w:tr>
        <w:trPr>
          <w:jc w:val="center"/>
          <w:trHeight w:val="567"/>
        </w:trPr>
        <w:tc>
          <w:tcPr>
            <w:tcW w:w="1162" w:type="dxa"/>
            <w:vAlign w:val="center"/>
            <w:textDirection w:val="lrTb"/>
            <w:noWrap w:val="false"/>
          </w:tcPr>
          <w:p>
            <w:pPr>
              <w:ind w:left="60" w:right="60"/>
              <w:jc w:val="left"/>
              <w:keepNext/>
              <w:spacing w:after="12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1418" w:type="dxa"/>
            <w:vAlign w:val="center"/>
            <w:textDirection w:val="lrTb"/>
            <w:noWrap w:val="false"/>
          </w:tcPr>
          <w:p>
            <w:pPr>
              <w:ind w:left="60" w:right="60"/>
              <w:jc w:val="left"/>
              <w:keepNext/>
              <w:spacing w:after="12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850" w:type="dxa"/>
            <w:vAlign w:val="center"/>
            <w:textDirection w:val="lrTb"/>
            <w:noWrap w:val="false"/>
          </w:tcPr>
          <w:p>
            <w:pPr>
              <w:ind w:left="60" w:right="60"/>
              <w:jc w:val="left"/>
              <w:keepNext/>
              <w:spacing w:after="12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1058" w:type="dxa"/>
            <w:vAlign w:val="center"/>
            <w:textDirection w:val="lrTb"/>
            <w:noWrap w:val="false"/>
          </w:tcPr>
          <w:p>
            <w:pPr>
              <w:ind w:left="60" w:right="60"/>
              <w:jc w:val="left"/>
              <w:keepNext/>
              <w:spacing w:after="12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880" w:type="dxa"/>
            <w:vAlign w:val="center"/>
            <w:textDirection w:val="lrTb"/>
            <w:noWrap w:val="false"/>
          </w:tcPr>
          <w:p>
            <w:pPr>
              <w:ind w:left="60" w:right="60"/>
              <w:jc w:val="left"/>
              <w:keepNext/>
              <w:spacing w:after="12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1020" w:type="dxa"/>
            <w:vAlign w:val="center"/>
            <w:textDirection w:val="lrTb"/>
            <w:noWrap w:val="false"/>
          </w:tcPr>
          <w:p>
            <w:pPr>
              <w:ind w:left="60" w:right="60"/>
              <w:jc w:val="left"/>
              <w:keepNext/>
              <w:spacing w:after="12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1480" w:type="dxa"/>
            <w:vAlign w:val="center"/>
            <w:textDirection w:val="lrTb"/>
            <w:noWrap w:val="false"/>
          </w:tcPr>
          <w:p>
            <w:pPr>
              <w:ind w:left="60" w:right="60"/>
              <w:jc w:val="left"/>
              <w:keepNext/>
              <w:spacing w:after="12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1020" w:type="dxa"/>
            <w:vAlign w:val="center"/>
            <w:textDirection w:val="lrTb"/>
            <w:noWrap w:val="false"/>
          </w:tcPr>
          <w:p>
            <w:pPr>
              <w:ind w:left="60" w:right="60"/>
              <w:jc w:val="left"/>
              <w:keepNext/>
              <w:spacing w:after="12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921" w:type="dxa"/>
            <w:vAlign w:val="center"/>
            <w:textDirection w:val="lrTb"/>
            <w:noWrap w:val="false"/>
          </w:tcPr>
          <w:p>
            <w:pPr>
              <w:ind w:left="60" w:right="60"/>
              <w:jc w:val="left"/>
              <w:keepNext/>
              <w:spacing w:after="12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r>
      <w:tr>
        <w:trPr>
          <w:jc w:val="center"/>
          <w:trHeight w:val="567"/>
        </w:trPr>
        <w:tc>
          <w:tcPr>
            <w:tcW w:w="1162" w:type="dxa"/>
            <w:vAlign w:val="center"/>
            <w:textDirection w:val="lrTb"/>
            <w:noWrap w:val="false"/>
          </w:tcPr>
          <w:p>
            <w:pPr>
              <w:ind w:left="60" w:right="60"/>
              <w:jc w:val="left"/>
              <w:keepNext/>
              <w:spacing w:after="12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1418" w:type="dxa"/>
            <w:vAlign w:val="center"/>
            <w:textDirection w:val="lrTb"/>
            <w:noWrap w:val="false"/>
          </w:tcPr>
          <w:p>
            <w:pPr>
              <w:ind w:left="60" w:right="60"/>
              <w:jc w:val="left"/>
              <w:keepNext/>
              <w:spacing w:after="12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850" w:type="dxa"/>
            <w:vAlign w:val="center"/>
            <w:textDirection w:val="lrTb"/>
            <w:noWrap w:val="false"/>
          </w:tcPr>
          <w:p>
            <w:pPr>
              <w:ind w:left="60" w:right="60"/>
              <w:jc w:val="left"/>
              <w:keepNext/>
              <w:spacing w:after="12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1058" w:type="dxa"/>
            <w:vAlign w:val="center"/>
            <w:textDirection w:val="lrTb"/>
            <w:noWrap w:val="false"/>
          </w:tcPr>
          <w:p>
            <w:pPr>
              <w:ind w:left="60" w:right="60"/>
              <w:jc w:val="left"/>
              <w:keepNext/>
              <w:spacing w:after="12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880" w:type="dxa"/>
            <w:vAlign w:val="center"/>
            <w:textDirection w:val="lrTb"/>
            <w:noWrap w:val="false"/>
          </w:tcPr>
          <w:p>
            <w:pPr>
              <w:ind w:left="60" w:right="60"/>
              <w:jc w:val="left"/>
              <w:keepNext/>
              <w:spacing w:after="12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1020" w:type="dxa"/>
            <w:vAlign w:val="center"/>
            <w:textDirection w:val="lrTb"/>
            <w:noWrap w:val="false"/>
          </w:tcPr>
          <w:p>
            <w:pPr>
              <w:ind w:left="60" w:right="60"/>
              <w:jc w:val="left"/>
              <w:keepNext/>
              <w:spacing w:after="12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1480" w:type="dxa"/>
            <w:vAlign w:val="center"/>
            <w:textDirection w:val="lrTb"/>
            <w:noWrap w:val="false"/>
          </w:tcPr>
          <w:p>
            <w:pPr>
              <w:ind w:left="60" w:right="60"/>
              <w:jc w:val="left"/>
              <w:keepNext/>
              <w:spacing w:after="12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1020" w:type="dxa"/>
            <w:vAlign w:val="center"/>
            <w:textDirection w:val="lrTb"/>
            <w:noWrap w:val="false"/>
          </w:tcPr>
          <w:p>
            <w:pPr>
              <w:ind w:left="60" w:right="60"/>
              <w:jc w:val="left"/>
              <w:keepNext/>
              <w:spacing w:after="12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921" w:type="dxa"/>
            <w:vAlign w:val="center"/>
            <w:textDirection w:val="lrTb"/>
            <w:noWrap w:val="false"/>
          </w:tcPr>
          <w:p>
            <w:pPr>
              <w:ind w:left="60" w:right="60"/>
              <w:jc w:val="left"/>
              <w:keepNext/>
              <w:spacing w:after="12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r>
    </w:tbl>
    <w:p>
      <w:pPr>
        <w:spacing w:line="360" w:lineRule="auto"/>
        <w:widowControl/>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r>
      <w:r/>
    </w:p>
    <w:p>
      <w:pPr>
        <w:ind w:left="256" w:right="6" w:firstLine="560"/>
        <w:jc w:val="both"/>
        <w:spacing w:line="360" w:lineRule="auto"/>
        <w:rPr>
          <w:rFonts w:hint="eastAsia" w:ascii="黑体" w:hAnsi="黑体" w:eastAsia="黑体" w:cs="黑体"/>
          <w:color w:val="auto"/>
          <w:sz w:val="28"/>
          <w:szCs w:val="20"/>
          <w:highlight w:val="none"/>
          <w:lang w:val="en-US" w:eastAsia="zh-CN" w:bidi="ar-SA"/>
        </w:rPr>
      </w:pPr>
      <w:r>
        <w:rPr>
          <w:rFonts w:hint="eastAsia" w:ascii="黑体" w:hAnsi="黑体" w:eastAsia="黑体" w:cs="黑体"/>
          <w:color w:val="auto"/>
          <w:sz w:val="28"/>
          <w:szCs w:val="20"/>
          <w:highlight w:val="none"/>
          <w:lang w:val="en-US" w:eastAsia="zh-CN" w:bidi="ar-SA"/>
        </w:rPr>
      </w:r>
      <w:r/>
    </w:p>
    <w:p>
      <w:pP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br w:type="page" w:clear="all"/>
      </w:r>
      <w:r/>
    </w:p>
    <w:p>
      <w:pP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附</w:t>
      </w:r>
      <w:bookmarkStart w:id="120" w:name="_Toc296346729"/>
      <w:r/>
      <w:bookmarkStart w:id="121" w:name="_Toc267261699"/>
      <w:r/>
      <w:bookmarkStart w:id="122" w:name="_Toc296944567"/>
      <w:r/>
      <w:bookmarkStart w:id="123" w:name="_Toc296891056"/>
      <w:r/>
      <w:bookmarkStart w:id="124" w:name="_Toc296503228"/>
      <w:r/>
      <w:bookmarkStart w:id="125" w:name="_Toc296891268"/>
      <w:r/>
      <w:bookmarkStart w:id="126" w:name="_Toc296347227"/>
      <w:r>
        <w:rPr>
          <w:rFonts w:hint="eastAsia" w:ascii="黑体" w:hAnsi="黑体" w:eastAsia="黑体" w:cs="黑体"/>
          <w:color w:val="auto"/>
          <w:szCs w:val="21"/>
          <w:highlight w:val="none"/>
        </w:rPr>
        <w:t xml:space="preserve">件3：</w:t>
      </w:r>
      <w:bookmarkEnd w:id="120"/>
      <w:r/>
      <w:bookmarkEnd w:id="121"/>
      <w:r/>
      <w:bookmarkEnd w:id="122"/>
      <w:r/>
      <w:bookmarkEnd w:id="123"/>
      <w:r/>
      <w:bookmarkEnd w:id="124"/>
      <w:r/>
      <w:bookmarkEnd w:id="125"/>
      <w:r/>
      <w:bookmarkEnd w:id="126"/>
      <w:r/>
      <w:r/>
    </w:p>
    <w:p>
      <w:pPr>
        <w:jc w:val="center"/>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承包人主要施工管理人员表</w:t>
      </w:r>
      <w:r/>
    </w:p>
    <w:tbl>
      <w:tblPr>
        <w:tblStyle w:val="1039"/>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Height w:val="567"/>
        </w:trPr>
        <w:tc>
          <w:tcPr>
            <w:tcBorders>
              <w:top w:val="single" w:color="auto" w:sz="12" w:space="0"/>
              <w:bottom w:val="single" w:color="auto" w:sz="6" w:space="0"/>
            </w:tcBorders>
            <w:tcW w:w="1871" w:type="dxa"/>
            <w:vAlign w:val="center"/>
            <w:textDirection w:val="lrTb"/>
            <w:noWrap w:val="false"/>
          </w:tcPr>
          <w:p>
            <w:pPr>
              <w:jc w:val="center"/>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名称</w:t>
            </w:r>
            <w:r/>
          </w:p>
        </w:tc>
        <w:tc>
          <w:tcPr>
            <w:tcBorders>
              <w:top w:val="single" w:color="auto" w:sz="12" w:space="0"/>
              <w:bottom w:val="single" w:color="auto" w:sz="6" w:space="0"/>
            </w:tcBorders>
            <w:tcW w:w="1418" w:type="dxa"/>
            <w:vAlign w:val="center"/>
            <w:textDirection w:val="lrTb"/>
            <w:noWrap w:val="false"/>
          </w:tcPr>
          <w:p>
            <w:pPr>
              <w:jc w:val="center"/>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姓名</w:t>
            </w:r>
            <w:r/>
          </w:p>
        </w:tc>
        <w:tc>
          <w:tcPr>
            <w:tcBorders>
              <w:top w:val="single" w:color="auto" w:sz="12" w:space="0"/>
              <w:bottom w:val="single" w:color="auto" w:sz="6" w:space="0"/>
            </w:tcBorders>
            <w:tcW w:w="1134" w:type="dxa"/>
            <w:vAlign w:val="center"/>
            <w:textDirection w:val="lrTb"/>
            <w:noWrap w:val="false"/>
          </w:tcPr>
          <w:p>
            <w:pPr>
              <w:jc w:val="center"/>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职务</w:t>
            </w:r>
            <w:r/>
          </w:p>
        </w:tc>
        <w:tc>
          <w:tcPr>
            <w:tcBorders>
              <w:top w:val="single" w:color="auto" w:sz="12" w:space="0"/>
              <w:bottom w:val="single" w:color="auto" w:sz="6" w:space="0"/>
            </w:tcBorders>
            <w:tcW w:w="1134" w:type="dxa"/>
            <w:vAlign w:val="center"/>
            <w:textDirection w:val="lrTb"/>
            <w:noWrap w:val="false"/>
          </w:tcPr>
          <w:p>
            <w:pPr>
              <w:jc w:val="center"/>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职称</w:t>
            </w:r>
            <w:r/>
          </w:p>
        </w:tc>
        <w:tc>
          <w:tcPr>
            <w:tcBorders>
              <w:top w:val="single" w:color="auto" w:sz="12" w:space="0"/>
              <w:bottom w:val="single" w:color="auto" w:sz="6" w:space="0"/>
            </w:tcBorders>
            <w:tcW w:w="4252" w:type="dxa"/>
            <w:vAlign w:val="center"/>
            <w:textDirection w:val="lrTb"/>
            <w:noWrap w:val="false"/>
          </w:tcPr>
          <w:p>
            <w:pPr>
              <w:jc w:val="center"/>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主要资历、经验及承担过的项目</w:t>
            </w:r>
            <w:r/>
          </w:p>
        </w:tc>
      </w:tr>
      <w:tr>
        <w:trPr>
          <w:jc w:val="center"/>
          <w:trHeight w:val="567"/>
        </w:trPr>
        <w:tc>
          <w:tcPr>
            <w:gridSpan w:val="5"/>
            <w:tcBorders>
              <w:top w:val="single" w:color="auto" w:sz="6" w:space="0"/>
              <w:bottom w:val="single" w:color="auto" w:sz="6" w:space="0"/>
            </w:tcBorders>
            <w:tcW w:w="9809"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一、总部人员</w:t>
            </w:r>
            <w:r/>
          </w:p>
        </w:tc>
      </w:tr>
      <w:tr>
        <w:trPr>
          <w:jc w:val="center"/>
          <w:trHeight w:val="567"/>
        </w:trPr>
        <w:tc>
          <w:tcPr>
            <w:tcBorders>
              <w:top w:val="none" w:color="000000" w:sz="4" w:space="0"/>
              <w:bottom w:val="none" w:color="000000" w:sz="4" w:space="0"/>
            </w:tcBorders>
            <w:tcW w:w="1871"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项目主管</w:t>
            </w:r>
            <w:r/>
          </w:p>
        </w:tc>
        <w:tc>
          <w:tcPr>
            <w:tcBorders>
              <w:top w:val="none" w:color="000000" w:sz="4" w:space="0"/>
            </w:tcBorders>
            <w:tcW w:w="1418"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Borders>
              <w:top w:val="none" w:color="000000" w:sz="4" w:space="0"/>
            </w:tcBorders>
            <w:tcW w:w="1134"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Borders>
              <w:top w:val="none" w:color="000000" w:sz="4" w:space="0"/>
            </w:tcBorders>
            <w:tcW w:w="1134"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Borders>
              <w:top w:val="none" w:color="000000" w:sz="4" w:space="0"/>
            </w:tcBorders>
            <w:tcW w:w="4252"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r>
      <w:tr>
        <w:trPr>
          <w:jc w:val="center"/>
          <w:trHeight w:val="567"/>
        </w:trPr>
        <w:tc>
          <w:tcPr>
            <w:tcBorders>
              <w:top w:val="single" w:color="auto" w:sz="6" w:space="0"/>
              <w:bottom w:val="none" w:color="000000" w:sz="4" w:space="0"/>
            </w:tcBorders>
            <w:tcW w:w="1871"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1418"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1134"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1134"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4252"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r>
      <w:tr>
        <w:trPr>
          <w:jc w:val="center"/>
          <w:trHeight w:val="567"/>
        </w:trPr>
        <w:tc>
          <w:tcPr>
            <w:tcBorders>
              <w:top w:val="none" w:color="000000" w:sz="4" w:space="0"/>
              <w:bottom w:val="none" w:color="000000" w:sz="4" w:space="0"/>
            </w:tcBorders>
            <w:tcW w:w="1871"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其他人员</w:t>
            </w:r>
            <w:r/>
          </w:p>
        </w:tc>
        <w:tc>
          <w:tcPr>
            <w:tcW w:w="1418"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1134"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1134"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4252"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r>
      <w:tr>
        <w:trPr>
          <w:jc w:val="center"/>
          <w:trHeight w:val="567"/>
        </w:trPr>
        <w:tc>
          <w:tcPr>
            <w:tcBorders>
              <w:top w:val="none" w:color="000000" w:sz="4" w:space="0"/>
              <w:bottom w:val="none" w:color="000000" w:sz="4" w:space="0"/>
            </w:tcBorders>
            <w:tcW w:w="1871"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1418"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1134"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1134"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4252"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r>
      <w:tr>
        <w:trPr>
          <w:jc w:val="center"/>
          <w:trHeight w:val="567"/>
        </w:trPr>
        <w:tc>
          <w:tcPr>
            <w:gridSpan w:val="5"/>
            <w:tcBorders>
              <w:top w:val="single" w:color="auto" w:sz="6" w:space="0"/>
              <w:bottom w:val="single" w:color="auto" w:sz="6" w:space="0"/>
            </w:tcBorders>
            <w:tcW w:w="9809"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二、现场人员</w:t>
            </w:r>
            <w:r/>
          </w:p>
        </w:tc>
      </w:tr>
      <w:tr>
        <w:trPr>
          <w:jc w:val="center"/>
          <w:trHeight w:val="567"/>
        </w:trPr>
        <w:tc>
          <w:tcPr>
            <w:tcBorders>
              <w:top w:val="single" w:color="auto" w:sz="6" w:space="0"/>
              <w:bottom w:val="single" w:color="auto" w:sz="6" w:space="0"/>
            </w:tcBorders>
            <w:tcW w:w="1871"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项目经理</w:t>
            </w:r>
            <w:r/>
          </w:p>
        </w:tc>
        <w:tc>
          <w:tcPr>
            <w:tcW w:w="1418"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1134"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1134"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4252"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项目副经理</w:t>
            </w:r>
            <w:r/>
          </w:p>
        </w:tc>
        <w:tc>
          <w:tcPr>
            <w:tcW w:w="1418"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1134"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1134"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4252"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技术负责人</w:t>
            </w:r>
            <w:r/>
          </w:p>
        </w:tc>
        <w:tc>
          <w:tcPr>
            <w:tcW w:w="1418"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1134"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1134"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4252"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造价管理</w:t>
            </w:r>
            <w:r/>
          </w:p>
        </w:tc>
        <w:tc>
          <w:tcPr>
            <w:tcW w:w="1418"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1134"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1134"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4252"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质量管理</w:t>
            </w:r>
            <w:r/>
          </w:p>
        </w:tc>
        <w:tc>
          <w:tcPr>
            <w:tcW w:w="1418"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1134"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1134"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4252"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材料管理</w:t>
            </w:r>
            <w:r/>
          </w:p>
        </w:tc>
        <w:tc>
          <w:tcPr>
            <w:tcW w:w="1418"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1134"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1134"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4252"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计划管理</w:t>
            </w:r>
            <w:r/>
          </w:p>
        </w:tc>
        <w:tc>
          <w:tcPr>
            <w:tcW w:w="1418"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1134"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1134"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4252"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安全管理</w:t>
            </w:r>
            <w:r/>
          </w:p>
        </w:tc>
        <w:tc>
          <w:tcPr>
            <w:tcW w:w="1418"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1134"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1134"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4252"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r>
      <w:tr>
        <w:trPr>
          <w:jc w:val="center"/>
          <w:trHeight w:val="567"/>
        </w:trPr>
        <w:tc>
          <w:tcPr>
            <w:tcBorders>
              <w:top w:val="single" w:color="auto" w:sz="6" w:space="0"/>
            </w:tcBorders>
            <w:tcW w:w="1871" w:type="dxa"/>
            <w:vAlign w:val="center"/>
            <w:vMerge w:val="restart"/>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其他人员</w:t>
            </w:r>
            <w:r/>
          </w:p>
        </w:tc>
        <w:tc>
          <w:tcPr>
            <w:tcW w:w="1418"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1134"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1134"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4252"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r>
      <w:tr>
        <w:trPr>
          <w:jc w:val="center"/>
          <w:trHeight w:val="567"/>
        </w:trPr>
        <w:tc>
          <w:tcPr>
            <w:tcW w:w="1871" w:type="dxa"/>
            <w:vAlign w:val="center"/>
            <w:vMerge w:val="continue"/>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Borders>
              <w:bottom w:val="none" w:color="000000" w:sz="4" w:space="0"/>
            </w:tcBorders>
            <w:tcW w:w="1418"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Borders>
              <w:bottom w:val="none" w:color="000000" w:sz="4" w:space="0"/>
            </w:tcBorders>
            <w:tcW w:w="1134"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Borders>
              <w:bottom w:val="none" w:color="000000" w:sz="4" w:space="0"/>
            </w:tcBorders>
            <w:tcW w:w="1134"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Borders>
              <w:bottom w:val="none" w:color="000000" w:sz="4" w:space="0"/>
            </w:tcBorders>
            <w:tcW w:w="4252"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r>
      <w:tr>
        <w:trPr>
          <w:jc w:val="center"/>
          <w:trHeight w:val="567"/>
        </w:trPr>
        <w:tc>
          <w:tcPr>
            <w:tcW w:w="1871" w:type="dxa"/>
            <w:vAlign w:val="center"/>
            <w:vMerge w:val="continue"/>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1418"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1134"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1134"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4252"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r>
      <w:tr>
        <w:trPr>
          <w:jc w:val="center"/>
          <w:trHeight w:val="567"/>
        </w:trPr>
        <w:tc>
          <w:tcPr>
            <w:tcBorders>
              <w:bottom w:val="single" w:color="auto" w:sz="12" w:space="0"/>
            </w:tcBorders>
            <w:tcW w:w="1871" w:type="dxa"/>
            <w:vAlign w:val="center"/>
            <w:vMerge w:val="continue"/>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Borders>
              <w:bottom w:val="single" w:color="auto" w:sz="12" w:space="0"/>
            </w:tcBorders>
            <w:tcW w:w="1418"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Borders>
              <w:bottom w:val="single" w:color="auto" w:sz="12" w:space="0"/>
            </w:tcBorders>
            <w:tcW w:w="1134"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Borders>
              <w:bottom w:val="single" w:color="auto" w:sz="12" w:space="0"/>
            </w:tcBorders>
            <w:tcW w:w="1134"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Borders>
              <w:bottom w:val="single" w:color="auto" w:sz="12" w:space="0"/>
            </w:tcBorders>
            <w:tcW w:w="4252" w:type="dxa"/>
            <w:vAlign w:val="center"/>
            <w:textDirection w:val="lrTb"/>
            <w:noWrap w:val="false"/>
          </w:tcPr>
          <w:p>
            <w:pPr>
              <w:jc w:val="left"/>
              <w:keepNext/>
              <w:spacing w:after="0"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r>
    </w:tbl>
    <w:p>
      <w:pPr>
        <w:spacing w:line="360" w:lineRule="auto"/>
        <w:widowControl/>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r>
      <w:r/>
    </w:p>
    <w:p>
      <w:pPr>
        <w:ind w:left="0" w:right="0" w:firstLine="1044"/>
        <w:jc w:val="center"/>
        <w:spacing w:line="360" w:lineRule="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1"/>
          <w:szCs w:val="21"/>
          <w:highlight w:val="none"/>
          <w:lang w:val="en-US" w:eastAsia="zh-CN" w:bidi="ar-SA"/>
        </w:rPr>
        <w:br w:type="page" w:clear="all"/>
      </w:r>
      <w:bookmarkEnd w:id="83"/>
      <w:r/>
      <w:bookmarkEnd w:id="84"/>
      <w:r/>
      <w:bookmarkStart w:id="127" w:name="_Toc3318"/>
      <w:r/>
      <w:bookmarkStart w:id="128" w:name="_Toc1567"/>
      <w:r>
        <w:rPr>
          <w:rFonts w:hint="eastAsia" w:ascii="黑体" w:hAnsi="黑体" w:eastAsia="黑体" w:cs="黑体"/>
          <w:color w:val="auto"/>
          <w:sz w:val="24"/>
          <w:szCs w:val="24"/>
          <w:highlight w:val="none"/>
          <w:lang w:val="en-US" w:eastAsia="zh-CN" w:bidi="ar-SA"/>
        </w:rPr>
        <w:t xml:space="preserve">附</w:t>
      </w:r>
      <w:bookmarkStart w:id="129" w:name="_Toc296891057"/>
      <w:r/>
      <w:bookmarkStart w:id="130" w:name="_Toc296944568"/>
      <w:r/>
      <w:bookmarkStart w:id="131" w:name="_Toc296503229"/>
      <w:r/>
      <w:bookmarkStart w:id="132" w:name="_Toc296891269"/>
      <w:r/>
      <w:bookmarkStart w:id="133" w:name="_Toc296347228"/>
      <w:r/>
      <w:bookmarkStart w:id="134" w:name="_Toc296346730"/>
      <w:r>
        <w:rPr>
          <w:rFonts w:hint="eastAsia" w:ascii="黑体" w:hAnsi="黑体" w:eastAsia="黑体" w:cs="黑体"/>
          <w:color w:val="auto"/>
          <w:sz w:val="24"/>
          <w:szCs w:val="24"/>
          <w:highlight w:val="none"/>
          <w:lang w:val="en-US" w:eastAsia="zh-CN" w:bidi="ar-SA"/>
        </w:rPr>
        <w:t xml:space="preserve">件4：</w:t>
      </w:r>
      <w:bookmarkEnd w:id="129"/>
      <w:r/>
      <w:bookmarkEnd w:id="130"/>
      <w:r/>
      <w:bookmarkEnd w:id="131"/>
      <w:r/>
      <w:bookmarkEnd w:id="132"/>
      <w:r/>
      <w:bookmarkEnd w:id="133"/>
      <w:r/>
      <w:bookmarkEnd w:id="134"/>
      <w:r/>
      <w:r/>
    </w:p>
    <w:p>
      <w:pPr>
        <w:ind w:left="256" w:right="6" w:hanging="36"/>
        <w:jc w:val="center"/>
        <w:spacing w:line="360" w:lineRule="auto"/>
        <w:rPr>
          <w:rFonts w:hint="eastAsia" w:ascii="黑体" w:hAnsi="黑体" w:eastAsia="黑体" w:cs="黑体"/>
          <w:color w:val="auto"/>
          <w:sz w:val="24"/>
          <w:szCs w:val="24"/>
          <w:highlight w:val="none"/>
          <w:lang w:val="en-US" w:eastAsia="zh-CN" w:bidi="ar-SA"/>
        </w:rPr>
        <w:outlineLvl w:val="9"/>
      </w:pPr>
      <w:r>
        <w:rPr>
          <w:rFonts w:hint="eastAsia" w:ascii="黑体" w:hAnsi="黑体" w:eastAsia="黑体" w:cs="黑体"/>
          <w:color w:val="auto"/>
          <w:sz w:val="24"/>
          <w:szCs w:val="24"/>
          <w:highlight w:val="none"/>
          <w:lang w:val="en-US" w:eastAsia="zh-CN" w:bidi="ar-SA"/>
        </w:rPr>
        <mc:AlternateContent>
          <mc:Choice Requires="wpg">
            <w:drawing>
              <wp:inline xmlns:wp="http://schemas.openxmlformats.org/drawingml/2006/wordprocessingDrawing" distT="0" distB="0" distL="0" distR="0">
                <wp:extent cx="5513070" cy="7790815"/>
                <wp:effectExtent l="0" t="0" r="11430" b="635"/>
                <wp:docPr id="14" name="图片 3"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descr="图片1"/>
                        <pic:cNvPicPr>
                          <a:picLocks noChangeAspect="1"/>
                        </pic:cNvPicPr>
                        <pic:nvPr/>
                      </pic:nvPicPr>
                      <pic:blipFill>
                        <a:blip r:embed="rId19"/>
                        <a:stretch/>
                      </pic:blipFill>
                      <pic:spPr bwMode="auto">
                        <a:xfrm>
                          <a:off x="0" y="0"/>
                          <a:ext cx="5513070" cy="7790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34.1pt;height:613.4pt;mso-wrap-distance-left:0.0pt;mso-wrap-distance-top:0.0pt;mso-wrap-distance-right:0.0pt;mso-wrap-distance-bottom:0.0pt;" stroked="f">
                <v:path textboxrect="0,0,0,0"/>
                <v:imagedata r:id="rId19" o:title=""/>
              </v:shape>
            </w:pict>
          </mc:Fallback>
        </mc:AlternateContent>
      </w:r>
      <w:r/>
    </w:p>
    <w:p>
      <w:pPr>
        <w:ind w:left="256" w:right="6" w:firstLine="624"/>
        <w:jc w:val="both"/>
        <w:spacing w:line="360" w:lineRule="auto"/>
        <w:rPr>
          <w:rFonts w:hint="eastAsia" w:ascii="黑体" w:hAnsi="黑体" w:eastAsia="黑体" w:cs="黑体"/>
          <w:color w:val="auto"/>
          <w:sz w:val="24"/>
          <w:szCs w:val="24"/>
          <w:highlight w:val="none"/>
          <w:lang w:val="en-US" w:eastAsia="zh-CN" w:bidi="ar-SA"/>
        </w:rPr>
        <w:outlineLvl w:val="9"/>
      </w:pPr>
      <w:r>
        <w:rPr>
          <w:rFonts w:hint="eastAsia" w:ascii="黑体" w:hAnsi="黑体" w:eastAsia="黑体" w:cs="黑体"/>
          <w:color w:val="auto"/>
          <w:sz w:val="24"/>
          <w:szCs w:val="24"/>
          <w:highlight w:val="none"/>
          <w:lang w:val="en-US" w:eastAsia="zh-CN" w:bidi="ar-SA"/>
        </w:rPr>
        <mc:AlternateContent>
          <mc:Choice Requires="wpg">
            <w:drawing>
              <wp:inline xmlns:wp="http://schemas.openxmlformats.org/drawingml/2006/wordprocessingDrawing" distT="0" distB="0" distL="0" distR="0">
                <wp:extent cx="5242560" cy="8267700"/>
                <wp:effectExtent l="0" t="0" r="15240" b="0"/>
                <wp:docPr id="15" name="图片 4" descr="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4" descr="图片2"/>
                        <pic:cNvPicPr>
                          <a:picLocks noChangeAspect="1"/>
                        </pic:cNvPicPr>
                        <pic:nvPr/>
                      </pic:nvPicPr>
                      <pic:blipFill>
                        <a:blip r:embed="rId20"/>
                        <a:stretch/>
                      </pic:blipFill>
                      <pic:spPr bwMode="auto">
                        <a:xfrm>
                          <a:off x="0" y="0"/>
                          <a:ext cx="5242560" cy="826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12.8pt;height:651.0pt;mso-wrap-distance-left:0.0pt;mso-wrap-distance-top:0.0pt;mso-wrap-distance-right:0.0pt;mso-wrap-distance-bottom:0.0pt;" stroked="f">
                <v:path textboxrect="0,0,0,0"/>
                <v:imagedata r:id="rId20" o:title=""/>
              </v:shape>
            </w:pict>
          </mc:Fallback>
        </mc:AlternateContent>
      </w:r>
      <w:bookmarkEnd w:id="85"/>
      <w:r/>
      <w:bookmarkEnd w:id="127"/>
      <w:r/>
      <w:bookmarkEnd w:id="128"/>
      <w:r/>
      <w:r/>
    </w:p>
    <w:p>
      <w:pPr>
        <w:jc w:val="center"/>
        <w:spacing w:after="120" w:line="360" w:lineRule="auto"/>
        <w:widowControl w:val="off"/>
        <w:rPr>
          <w:rFonts w:hint="eastAsia" w:ascii="黑体" w:hAnsi="黑体" w:eastAsia="黑体" w:cs="黑体"/>
          <w:color w:val="auto"/>
          <w:highlight w:val="none"/>
        </w:rPr>
      </w:pPr>
      <w:r>
        <w:rPr>
          <w:rFonts w:hint="eastAsia" w:ascii="黑体" w:hAnsi="黑体" w:eastAsia="黑体" w:cs="黑体"/>
          <w:b/>
          <w:bCs/>
          <w:color w:val="auto"/>
          <w:sz w:val="28"/>
          <w:szCs w:val="28"/>
          <w:highlight w:val="none"/>
          <w:lang w:val="en-US" w:eastAsia="zh-CN" w:bidi="ar-SA"/>
        </w:rPr>
        <w:t xml:space="preserve">（以下无正文）</w:t>
      </w:r>
      <w:r/>
    </w:p>
    <w:sectPr>
      <w:footerReference w:type="default" r:id="rId14"/>
      <w:footerReference w:type="first" r:id="rId15"/>
      <w:footnotePr/>
      <w:endnotePr/>
      <w:type w:val="nextPage"/>
      <w:pgSz w:w="11906" w:h="16838" w:orient="portrait"/>
      <w:pgMar w:top="1440" w:right="1080" w:bottom="1440" w:left="108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Adobe 仿宋 Std R">
    <w:panose1 w:val="020B0503020202020204"/>
  </w:font>
  <w:font w:name="Symbol">
    <w:panose1 w:val="05050102010706020507"/>
  </w:font>
  <w:font w:name="Wingdings">
    <w:panose1 w:val="05000000000000000000"/>
  </w:font>
  <w:font w:name="Courier New">
    <w:panose1 w:val="02070309020205020404"/>
  </w:font>
  <w:font w:name="隶书">
    <w:panose1 w:val="02010509060101010101"/>
  </w:font>
  <w:font w:name="宋体">
    <w:panose1 w:val="02010600030101010101"/>
  </w:font>
  <w:font w:name="Times New Roman">
    <w:panose1 w:val="020206030504050203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5760"/>
      <w:jc w:val="left"/>
      <w:tabs>
        <w:tab w:val="right" w:pos="4153" w:leader="none"/>
        <w:tab w:val="left" w:pos="8306" w:leader="underscore"/>
      </w:tabs>
      <w:rPr>
        <w:rFonts w:hint="default" w:ascii="Times New Roman" w:hAnsi="Times New Roman" w:eastAsia="宋体" w:cs="Times New Roman"/>
        <w:sz w:val="18"/>
        <w:lang w:val="en-US" w:eastAsia="zh-CN" w:bidi="ar-SA"/>
      </w:rPr>
    </w:pPr>
    <w:r>
      <w:rPr>
        <w:rFonts w:hint="default" w:ascii="Times New Roman" w:hAnsi="Times New Roman" w:eastAsia="宋体" w:cs="Times New Roman"/>
        <w:sz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68275" cy="16256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68275" cy="162560"/>
                      </a:xfrm>
                      <a:prstGeom prst="rect">
                        <a:avLst/>
                      </a:prstGeom>
                      <a:noFill/>
                      <a:ln>
                        <a:noFill/>
                      </a:ln>
                    </wps:spPr>
                    <wps:txbx>
                      <w:txbxContent>
                        <w:p>
                          <w:pPr>
                            <w:jc w:val="both"/>
                            <w:tabs>
                              <w:tab w:val="center" w:pos="7143" w:leader="none"/>
                              <w:tab w:val="right" w:pos="14287" w:leader="none"/>
                            </w:tabs>
                            <w:rPr>
                              <w:rFonts w:hint="default" w:ascii="Calibri" w:hAnsi="Calibri" w:eastAsia="宋体" w:cs="Times New Roman"/>
                              <w:sz w:val="21"/>
                              <w:szCs w:val="21"/>
                              <w:lang w:val="en-US" w:eastAsia="zh-CN" w:bidi="ar-SA"/>
                            </w:rPr>
                          </w:pPr>
                          <w:r>
                            <w:rPr>
                              <w:rFonts w:hint="default" w:ascii="Calibri" w:hAnsi="Calibri" w:eastAsia="宋体" w:cs="Times New Roman"/>
                              <w:sz w:val="21"/>
                              <w:szCs w:val="21"/>
                              <w:lang w:val="en-US" w:eastAsia="zh-CN" w:bidi="ar-SA"/>
                            </w:rPr>
                            <w:fldChar w:fldCharType="begin"/>
                          </w:r>
                          <w:r>
                            <w:rPr>
                              <w:rFonts w:hint="default" w:ascii="Calibri" w:hAnsi="Calibri" w:eastAsia="宋体" w:cs="Times New Roman"/>
                              <w:sz w:val="21"/>
                              <w:szCs w:val="21"/>
                              <w:lang w:val="en-US" w:eastAsia="zh-CN" w:bidi="ar-SA"/>
                            </w:rPr>
                            <w:instrText xml:space="preserve"> PAGE  \* MERGEFORMAT </w:instrText>
                          </w:r>
                          <w:r>
                            <w:rPr>
                              <w:rFonts w:hint="default" w:ascii="Calibri" w:hAnsi="Calibri" w:eastAsia="宋体" w:cs="Times New Roman"/>
                              <w:sz w:val="21"/>
                              <w:szCs w:val="21"/>
                              <w:lang w:val="en-US" w:eastAsia="zh-CN" w:bidi="ar-SA"/>
                            </w:rPr>
                            <w:fldChar w:fldCharType="separate"/>
                          </w:r>
                          <w:r>
                            <w:rPr>
                              <w:rFonts w:hint="default" w:ascii="Calibri" w:hAnsi="Calibri" w:eastAsia="宋体" w:cs="Times New Roman"/>
                              <w:sz w:val="21"/>
                              <w:szCs w:val="21"/>
                              <w:lang w:val="en-US" w:eastAsia="zh-CN" w:bidi="ar-SA"/>
                            </w:rPr>
                            <w:t xml:space="preserve">20</w:t>
                          </w:r>
                          <w:r>
                            <w:rPr>
                              <w:rFonts w:hint="default" w:ascii="Calibri" w:hAnsi="Calibri" w:eastAsia="宋体" w:cs="Times New Roman"/>
                              <w:sz w:val="21"/>
                              <w:szCs w:val="21"/>
                              <w:lang w:val="en-US" w:eastAsia="zh-CN" w:bidi="ar-SA"/>
                            </w:rPr>
                            <w:fldChar w:fldCharType="end"/>
                          </w:r>
                          <w:r/>
                        </w:p>
                      </w:txbxContent>
                    </wps:txbx>
                    <wps:bodyPr lIns="0" tIns="0" rIns="0" bIns="0" upright="1"/>
                  </wps:wsp>
                </a:graphicData>
              </a:graphic>
            </wp:anchor>
          </w:drawing>
        </mc:Choice>
        <mc:Fallback>
          <w:pict>
            <v:shape id="shape 2" o:spid="_x0000_s2" o:spt="202" type="#_x0000_t202" style="position:absolute;z-index:251659264;o:allowoverlap:true;o:allowincell:true;mso-position-horizontal-relative:margin;mso-position-horizontal:right;mso-position-vertical-relative:text;margin-top:0.0pt;mso-position-vertical:absolute;width:13.2pt;height:12.8pt;mso-wrap-distance-left:9.0pt;mso-wrap-distance-top:0.0pt;mso-wrap-distance-right:9.0pt;mso-wrap-distance-bottom:0.0pt;visibility:visible;" filled="f" stroked="f">
              <v:textbox inset="0,0,0,0">
                <w:txbxContent>
                  <w:p>
                    <w:pPr>
                      <w:jc w:val="both"/>
                      <w:tabs>
                        <w:tab w:val="center" w:pos="7143" w:leader="none"/>
                        <w:tab w:val="right" w:pos="14287" w:leader="none"/>
                      </w:tabs>
                      <w:rPr>
                        <w:rFonts w:hint="default" w:ascii="Calibri" w:hAnsi="Calibri" w:eastAsia="宋体" w:cs="Times New Roman"/>
                        <w:sz w:val="21"/>
                        <w:szCs w:val="21"/>
                        <w:lang w:val="en-US" w:eastAsia="zh-CN" w:bidi="ar-SA"/>
                      </w:rPr>
                    </w:pPr>
                    <w:r>
                      <w:rPr>
                        <w:rFonts w:hint="default" w:ascii="Calibri" w:hAnsi="Calibri" w:eastAsia="宋体" w:cs="Times New Roman"/>
                        <w:sz w:val="21"/>
                        <w:szCs w:val="21"/>
                        <w:lang w:val="en-US" w:eastAsia="zh-CN" w:bidi="ar-SA"/>
                      </w:rPr>
                      <w:fldChar w:fldCharType="begin"/>
                    </w:r>
                    <w:r>
                      <w:rPr>
                        <w:rFonts w:hint="default" w:ascii="Calibri" w:hAnsi="Calibri" w:eastAsia="宋体" w:cs="Times New Roman"/>
                        <w:sz w:val="21"/>
                        <w:szCs w:val="21"/>
                        <w:lang w:val="en-US" w:eastAsia="zh-CN" w:bidi="ar-SA"/>
                      </w:rPr>
                      <w:instrText xml:space="preserve"> PAGE  \* MERGEFORMAT </w:instrText>
                    </w:r>
                    <w:r>
                      <w:rPr>
                        <w:rFonts w:hint="default" w:ascii="Calibri" w:hAnsi="Calibri" w:eastAsia="宋体" w:cs="Times New Roman"/>
                        <w:sz w:val="21"/>
                        <w:szCs w:val="21"/>
                        <w:lang w:val="en-US" w:eastAsia="zh-CN" w:bidi="ar-SA"/>
                      </w:rPr>
                      <w:fldChar w:fldCharType="separate"/>
                    </w:r>
                    <w:r>
                      <w:rPr>
                        <w:rFonts w:hint="default" w:ascii="Calibri" w:hAnsi="Calibri" w:eastAsia="宋体" w:cs="Times New Roman"/>
                        <w:sz w:val="21"/>
                        <w:szCs w:val="21"/>
                        <w:lang w:val="en-US" w:eastAsia="zh-CN" w:bidi="ar-SA"/>
                      </w:rPr>
                      <w:t xml:space="preserve">20</w:t>
                    </w:r>
                    <w:r>
                      <w:rPr>
                        <w:rFonts w:hint="default" w:ascii="Calibri" w:hAnsi="Calibri" w:eastAsia="宋体" w:cs="Times New Roman"/>
                        <w:sz w:val="21"/>
                        <w:szCs w:val="21"/>
                        <w:lang w:val="en-US" w:eastAsia="zh-CN" w:bidi="ar-S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hint="default" w:ascii="Times New Roman" w:hAnsi="Times New Roman" w:eastAsia="宋体" w:cs="Times New Roman"/>
        <w:sz w:val="18"/>
        <w:lang w:val="en-US" w:eastAsia="zh-CN" w:bidi="ar-SA"/>
      </w:rPr>
      <w:framePr w:wrap="around" w:vAnchor="text" w:hAnchor="margin" w:xAlign="right" w:y="1"/>
    </w:pPr>
    <w:r>
      <w:rPr>
        <w:rFonts w:hint="default" w:ascii="Times New Roman" w:hAnsi="Times New Roman" w:eastAsia="宋体" w:cs="Times New Roman"/>
        <w:sz w:val="18"/>
        <w:lang w:val="en-US" w:eastAsia="zh-CN" w:bidi="ar-SA"/>
      </w:rPr>
      <w:fldChar w:fldCharType="begin"/>
    </w:r>
    <w:r>
      <w:rPr>
        <w:rFonts w:hint="default" w:ascii="Calibri" w:hAnsi="Calibri" w:eastAsia="宋体" w:cs="Times New Roman"/>
        <w:sz w:val="21"/>
        <w:szCs w:val="21"/>
        <w:lang w:val="en-US" w:eastAsia="zh-CN" w:bidi="ar-SA"/>
      </w:rPr>
      <w:instrText xml:space="preserve">PAGE  </w:instrText>
    </w:r>
    <w:r>
      <w:rPr>
        <w:rFonts w:hint="default" w:ascii="Times New Roman" w:hAnsi="Times New Roman" w:eastAsia="宋体" w:cs="Times New Roman"/>
        <w:sz w:val="18"/>
        <w:lang w:val="en-US" w:eastAsia="zh-CN" w:bidi="ar-SA"/>
      </w:rPr>
      <w:fldChar w:fldCharType="separate"/>
    </w:r>
    <w:r>
      <w:rPr>
        <w:rFonts w:hint="default" w:ascii="Calibri" w:hAnsi="Calibri" w:eastAsia="宋体" w:cs="Times New Roman"/>
        <w:sz w:val="21"/>
        <w:szCs w:val="21"/>
        <w:lang w:val="en-US" w:eastAsia="zh-CN" w:bidi="ar-SA"/>
      </w:rPr>
      <w:t xml:space="preserve">19</w:t>
    </w:r>
    <w:r>
      <w:rPr>
        <w:rFonts w:hint="default" w:ascii="Times New Roman" w:hAnsi="Times New Roman" w:eastAsia="宋体" w:cs="Times New Roman"/>
        <w:sz w:val="18"/>
        <w:lang w:val="en-US" w:eastAsia="zh-CN" w:bidi="ar-SA"/>
      </w:rPr>
      <w:fldChar w:fldCharType="end"/>
    </w:r>
    <w:r/>
  </w:p>
  <w:p>
    <w:pPr>
      <w:ind w:right="360"/>
      <w:jc w:val="left"/>
      <w:tabs>
        <w:tab w:val="center" w:pos="4153" w:leader="none"/>
        <w:tab w:val="right" w:pos="8306" w:leader="none"/>
      </w:tabs>
      <w:rPr>
        <w:rFonts w:hint="default" w:ascii="Times New Roman" w:hAnsi="Times New Roman" w:eastAsia="宋体" w:cs="Times New Roman"/>
        <w:sz w:val="18"/>
        <w:lang w:val="en-US" w:eastAsia="zh-CN" w:bidi="ar-SA"/>
      </w:rPr>
    </w:pPr>
    <w:r>
      <w:rPr>
        <w:rFonts w:hint="default" w:ascii="Times New Roman" w:hAnsi="Times New Roman" w:eastAsia="宋体" w:cs="Times New Roman"/>
        <w:sz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left"/>
      <w:tabs>
        <w:tab w:val="center" w:pos="4153" w:leader="none"/>
        <w:tab w:val="right" w:pos="8306" w:leader="none"/>
      </w:tabs>
      <w:rPr>
        <w:rFonts w:hint="default" w:ascii="Times New Roman" w:hAnsi="Times New Roman" w:eastAsia="宋体" w:cs="Times New Roman"/>
        <w:sz w:val="18"/>
        <w:lang w:val="en-US" w:eastAsia="zh-CN" w:bidi="ar-SA"/>
      </w:rPr>
    </w:pPr>
    <w:r>
      <w:rPr>
        <w:rFonts w:hint="default" w:ascii="Times New Roman" w:hAnsi="Times New Roman" w:eastAsia="宋体" w:cs="Times New Roman"/>
        <w:sz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both"/>
                            <w:tabs>
                              <w:tab w:val="center" w:pos="7143" w:leader="none"/>
                              <w:tab w:val="right" w:pos="14287" w:leader="none"/>
                            </w:tabs>
                            <w:rPr>
                              <w:rFonts w:hint="default" w:ascii="Calibri" w:hAnsi="Calibri" w:eastAsia="宋体" w:cs="Times New Roman"/>
                              <w:sz w:val="21"/>
                              <w:szCs w:val="21"/>
                              <w:lang w:val="en-US" w:eastAsia="zh-CN" w:bidi="ar-SA"/>
                            </w:rPr>
                          </w:pPr>
                          <w:r>
                            <w:rPr>
                              <w:rFonts w:hint="default" w:ascii="Calibri" w:hAnsi="Calibri" w:eastAsia="宋体" w:cs="Times New Roman"/>
                              <w:sz w:val="21"/>
                              <w:szCs w:val="21"/>
                              <w:lang w:val="en-US" w:eastAsia="zh-CN" w:bidi="ar-SA"/>
                            </w:rPr>
                            <w:fldChar w:fldCharType="begin"/>
                          </w:r>
                          <w:r>
                            <w:rPr>
                              <w:rFonts w:hint="default" w:ascii="Calibri" w:hAnsi="Calibri" w:eastAsia="宋体" w:cs="Times New Roman"/>
                              <w:sz w:val="21"/>
                              <w:szCs w:val="21"/>
                              <w:lang w:val="en-US" w:eastAsia="zh-CN" w:bidi="ar-SA"/>
                            </w:rPr>
                            <w:instrText xml:space="preserve"> PAGE  \* MERGEFORMAT </w:instrText>
                          </w:r>
                          <w:r>
                            <w:rPr>
                              <w:rFonts w:hint="default" w:ascii="Calibri" w:hAnsi="Calibri" w:eastAsia="宋体" w:cs="Times New Roman"/>
                              <w:sz w:val="21"/>
                              <w:szCs w:val="21"/>
                              <w:lang w:val="en-US" w:eastAsia="zh-CN" w:bidi="ar-SA"/>
                            </w:rPr>
                            <w:fldChar w:fldCharType="separate"/>
                          </w:r>
                          <w:r>
                            <w:rPr>
                              <w:rFonts w:hint="default" w:ascii="Calibri" w:hAnsi="Calibri" w:eastAsia="宋体" w:cs="Times New Roman"/>
                              <w:sz w:val="21"/>
                              <w:szCs w:val="21"/>
                              <w:lang w:val="en-US" w:eastAsia="zh-CN" w:bidi="ar-SA"/>
                            </w:rPr>
                            <w:t xml:space="preserve">27</w:t>
                          </w:r>
                          <w:r>
                            <w:rPr>
                              <w:rFonts w:hint="default" w:ascii="Calibri" w:hAnsi="Calibri" w:eastAsia="宋体" w:cs="Times New Roman"/>
                              <w:sz w:val="21"/>
                              <w:szCs w:val="21"/>
                              <w:lang w:val="en-US" w:eastAsia="zh-CN" w:bidi="ar-S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jc w:val="both"/>
                      <w:tabs>
                        <w:tab w:val="center" w:pos="7143" w:leader="none"/>
                        <w:tab w:val="right" w:pos="14287" w:leader="none"/>
                      </w:tabs>
                      <w:rPr>
                        <w:rFonts w:hint="default" w:ascii="Calibri" w:hAnsi="Calibri" w:eastAsia="宋体" w:cs="Times New Roman"/>
                        <w:sz w:val="21"/>
                        <w:szCs w:val="21"/>
                        <w:lang w:val="en-US" w:eastAsia="zh-CN" w:bidi="ar-SA"/>
                      </w:rPr>
                    </w:pPr>
                    <w:r>
                      <w:rPr>
                        <w:rFonts w:hint="default" w:ascii="Calibri" w:hAnsi="Calibri" w:eastAsia="宋体" w:cs="Times New Roman"/>
                        <w:sz w:val="21"/>
                        <w:szCs w:val="21"/>
                        <w:lang w:val="en-US" w:eastAsia="zh-CN" w:bidi="ar-SA"/>
                      </w:rPr>
                      <w:fldChar w:fldCharType="begin"/>
                    </w:r>
                    <w:r>
                      <w:rPr>
                        <w:rFonts w:hint="default" w:ascii="Calibri" w:hAnsi="Calibri" w:eastAsia="宋体" w:cs="Times New Roman"/>
                        <w:sz w:val="21"/>
                        <w:szCs w:val="21"/>
                        <w:lang w:val="en-US" w:eastAsia="zh-CN" w:bidi="ar-SA"/>
                      </w:rPr>
                      <w:instrText xml:space="preserve"> PAGE  \* MERGEFORMAT </w:instrText>
                    </w:r>
                    <w:r>
                      <w:rPr>
                        <w:rFonts w:hint="default" w:ascii="Calibri" w:hAnsi="Calibri" w:eastAsia="宋体" w:cs="Times New Roman"/>
                        <w:sz w:val="21"/>
                        <w:szCs w:val="21"/>
                        <w:lang w:val="en-US" w:eastAsia="zh-CN" w:bidi="ar-SA"/>
                      </w:rPr>
                      <w:fldChar w:fldCharType="separate"/>
                    </w:r>
                    <w:r>
                      <w:rPr>
                        <w:rFonts w:hint="default" w:ascii="Calibri" w:hAnsi="Calibri" w:eastAsia="宋体" w:cs="Times New Roman"/>
                        <w:sz w:val="21"/>
                        <w:szCs w:val="21"/>
                        <w:lang w:val="en-US" w:eastAsia="zh-CN" w:bidi="ar-SA"/>
                      </w:rPr>
                      <w:t xml:space="preserve">27</w:t>
                    </w:r>
                    <w:r>
                      <w:rPr>
                        <w:rFonts w:hint="default" w:ascii="Calibri" w:hAnsi="Calibri" w:eastAsia="宋体" w:cs="Times New Roman"/>
                        <w:sz w:val="21"/>
                        <w:szCs w:val="21"/>
                        <w:lang w:val="en-US" w:eastAsia="zh-CN" w:bidi="ar-S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right" w:pos="4153" w:leader="none"/>
        <w:tab w:val="left" w:pos="8306" w:leader="underscore"/>
      </w:tabs>
      <w:rPr>
        <w:rFonts w:hint="default" w:ascii="隶书" w:hAnsi="Times New Roman" w:eastAsia="隶书" w:cs="Times New Roman"/>
        <w:b/>
        <w:i/>
        <w:sz w:val="18"/>
        <w:lang w:val="en-US" w:eastAsia="zh-CN" w:bidi="ar-SA"/>
      </w:rPr>
    </w:pPr>
    <w:r>
      <w:rPr>
        <w:rFonts w:hint="default" w:ascii="Times New Roman" w:hAnsi="Times New Roman" w:eastAsia="宋体" w:cs="Times New Roman"/>
        <w:sz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64465" cy="162560"/>
              <wp:effectExtent l="0" t="0" r="0" b="0"/>
              <wp:wrapNone/>
              <wp:docPr id="5" name="文本框 12"/>
              <wp:cNvGraphicFramePr/>
              <a:graphic xmlns:a="http://schemas.openxmlformats.org/drawingml/2006/main">
                <a:graphicData uri="http://schemas.microsoft.com/office/word/2010/wordprocessingShape">
                  <wps:wsp>
                    <wps:cNvPr id="0" name=""/>
                    <wps:cNvSpPr txBox="1"/>
                    <wps:spPr bwMode="auto">
                      <a:xfrm>
                        <a:off x="0" y="0"/>
                        <a:ext cx="164465" cy="162560"/>
                      </a:xfrm>
                      <a:prstGeom prst="rect">
                        <a:avLst/>
                      </a:prstGeom>
                      <a:noFill/>
                      <a:ln>
                        <a:noFill/>
                      </a:ln>
                    </wps:spPr>
                    <wps:txbx>
                      <w:txbxContent>
                        <w:p>
                          <w:pPr>
                            <w:jc w:val="both"/>
                            <w:tabs>
                              <w:tab w:val="center" w:pos="7143" w:leader="none"/>
                              <w:tab w:val="right" w:pos="14287" w:leader="none"/>
                            </w:tabs>
                            <w:rPr>
                              <w:rFonts w:hint="default" w:ascii="Calibri" w:hAnsi="Calibri" w:eastAsia="宋体" w:cs="Times New Roman"/>
                              <w:sz w:val="21"/>
                              <w:szCs w:val="21"/>
                              <w:lang w:val="en-US" w:eastAsia="zh-CN" w:bidi="ar-SA"/>
                            </w:rPr>
                          </w:pPr>
                          <w:r>
                            <w:rPr>
                              <w:rFonts w:hint="default" w:ascii="Calibri" w:hAnsi="Calibri" w:eastAsia="宋体" w:cs="Times New Roman"/>
                              <w:sz w:val="21"/>
                              <w:szCs w:val="21"/>
                              <w:lang w:val="en-US" w:eastAsia="zh-CN" w:bidi="ar-SA"/>
                            </w:rPr>
                            <w:fldChar w:fldCharType="begin"/>
                          </w:r>
                          <w:r>
                            <w:rPr>
                              <w:rFonts w:hint="default" w:ascii="Calibri" w:hAnsi="Calibri" w:eastAsia="宋体" w:cs="Times New Roman"/>
                              <w:sz w:val="21"/>
                              <w:szCs w:val="21"/>
                              <w:lang w:val="en-US" w:eastAsia="zh-CN" w:bidi="ar-SA"/>
                            </w:rPr>
                            <w:instrText xml:space="preserve"> PAGE  \* MERGEFORMAT </w:instrText>
                          </w:r>
                          <w:r>
                            <w:rPr>
                              <w:rFonts w:hint="default" w:ascii="Calibri" w:hAnsi="Calibri" w:eastAsia="宋体" w:cs="Times New Roman"/>
                              <w:sz w:val="21"/>
                              <w:szCs w:val="21"/>
                              <w:lang w:val="en-US" w:eastAsia="zh-CN" w:bidi="ar-SA"/>
                            </w:rPr>
                            <w:fldChar w:fldCharType="separate"/>
                          </w:r>
                          <w:r>
                            <w:rPr>
                              <w:rFonts w:hint="default" w:ascii="Calibri" w:hAnsi="Calibri" w:eastAsia="宋体" w:cs="Times New Roman"/>
                              <w:sz w:val="21"/>
                              <w:szCs w:val="21"/>
                              <w:lang w:val="en-US" w:eastAsia="zh-CN" w:bidi="ar-SA"/>
                            </w:rPr>
                            <w:t xml:space="preserve">56</w:t>
                          </w:r>
                          <w:r>
                            <w:rPr>
                              <w:rFonts w:hint="default" w:ascii="Calibri" w:hAnsi="Calibri" w:eastAsia="宋体" w:cs="Times New Roman"/>
                              <w:sz w:val="21"/>
                              <w:szCs w:val="21"/>
                              <w:lang w:val="en-US" w:eastAsia="zh-CN" w:bidi="ar-SA"/>
                            </w:rPr>
                            <w:fldChar w:fldCharType="end"/>
                          </w:r>
                          <w:r/>
                        </w:p>
                      </w:txbxContent>
                    </wps:txbx>
                    <wps:bodyPr lIns="0" tIns="0" rIns="0" bIns="0" upright="1"/>
                  </wps:wsp>
                </a:graphicData>
              </a:graphic>
            </wp:anchor>
          </w:drawing>
        </mc:Choice>
        <mc:Fallback>
          <w:pict>
            <v:shape id="shape 4" o:spid="_x0000_s4" o:spt="202" type="#_x0000_t202" style="position:absolute;z-index:251661312;o:allowoverlap:true;o:allowincell:true;mso-position-horizontal-relative:margin;mso-position-horizontal:right;mso-position-vertical-relative:text;margin-top:0.0pt;mso-position-vertical:absolute;width:12.9pt;height:12.8pt;mso-wrap-distance-left:9.0pt;mso-wrap-distance-top:0.0pt;mso-wrap-distance-right:9.0pt;mso-wrap-distance-bottom:0.0pt;visibility:visible;" filled="f" stroked="f">
              <v:textbox inset="0,0,0,0">
                <w:txbxContent>
                  <w:p>
                    <w:pPr>
                      <w:jc w:val="both"/>
                      <w:tabs>
                        <w:tab w:val="center" w:pos="7143" w:leader="none"/>
                        <w:tab w:val="right" w:pos="14287" w:leader="none"/>
                      </w:tabs>
                      <w:rPr>
                        <w:rFonts w:hint="default" w:ascii="Calibri" w:hAnsi="Calibri" w:eastAsia="宋体" w:cs="Times New Roman"/>
                        <w:sz w:val="21"/>
                        <w:szCs w:val="21"/>
                        <w:lang w:val="en-US" w:eastAsia="zh-CN" w:bidi="ar-SA"/>
                      </w:rPr>
                    </w:pPr>
                    <w:r>
                      <w:rPr>
                        <w:rFonts w:hint="default" w:ascii="Calibri" w:hAnsi="Calibri" w:eastAsia="宋体" w:cs="Times New Roman"/>
                        <w:sz w:val="21"/>
                        <w:szCs w:val="21"/>
                        <w:lang w:val="en-US" w:eastAsia="zh-CN" w:bidi="ar-SA"/>
                      </w:rPr>
                      <w:fldChar w:fldCharType="begin"/>
                    </w:r>
                    <w:r>
                      <w:rPr>
                        <w:rFonts w:hint="default" w:ascii="Calibri" w:hAnsi="Calibri" w:eastAsia="宋体" w:cs="Times New Roman"/>
                        <w:sz w:val="21"/>
                        <w:szCs w:val="21"/>
                        <w:lang w:val="en-US" w:eastAsia="zh-CN" w:bidi="ar-SA"/>
                      </w:rPr>
                      <w:instrText xml:space="preserve"> PAGE  \* MERGEFORMAT </w:instrText>
                    </w:r>
                    <w:r>
                      <w:rPr>
                        <w:rFonts w:hint="default" w:ascii="Calibri" w:hAnsi="Calibri" w:eastAsia="宋体" w:cs="Times New Roman"/>
                        <w:sz w:val="21"/>
                        <w:szCs w:val="21"/>
                        <w:lang w:val="en-US" w:eastAsia="zh-CN" w:bidi="ar-SA"/>
                      </w:rPr>
                      <w:fldChar w:fldCharType="separate"/>
                    </w:r>
                    <w:r>
                      <w:rPr>
                        <w:rFonts w:hint="default" w:ascii="Calibri" w:hAnsi="Calibri" w:eastAsia="宋体" w:cs="Times New Roman"/>
                        <w:sz w:val="21"/>
                        <w:szCs w:val="21"/>
                        <w:lang w:val="en-US" w:eastAsia="zh-CN" w:bidi="ar-SA"/>
                      </w:rPr>
                      <w:t xml:space="preserve">56</w:t>
                    </w:r>
                    <w:r>
                      <w:rPr>
                        <w:rFonts w:hint="default" w:ascii="Calibri" w:hAnsi="Calibri" w:eastAsia="宋体" w:cs="Times New Roman"/>
                        <w:sz w:val="21"/>
                        <w:szCs w:val="21"/>
                        <w:lang w:val="en-US" w:eastAsia="zh-CN" w:bidi="ar-SA"/>
                      </w:rPr>
                      <w:fldChar w:fldCharType="end"/>
                    </w:r>
                    <w:r/>
                  </w:p>
                </w:txbxContent>
              </v:textbox>
            </v:shape>
          </w:pict>
        </mc:Fallback>
      </mc:AlternateContent>
    </w:r>
    <w:r/>
  </w:p>
  <w:p>
    <w:pPr>
      <w:jc w:val="both"/>
      <w:rPr>
        <w:rFonts w:hint="default" w:ascii="隶书" w:hAnsi="Times New Roman" w:eastAsia="隶书" w:cs="Times New Roman"/>
        <w:b/>
        <w:i/>
        <w:sz w:val="18"/>
        <w:lang w:val="en-US" w:eastAsia="zh-CN" w:bidi="ar-SA"/>
      </w:rPr>
    </w:pPr>
    <w:r>
      <w:rPr>
        <w:rFonts w:hint="default" w:ascii="隶书" w:hAnsi="Times New Roman" w:eastAsia="隶书" w:cs="Times New Roman"/>
        <w:b/>
        <w:i/>
        <w:sz w:val="18"/>
        <w:lang w:val="en-US" w:eastAsia="zh-CN" w:bidi="ar-S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rPr>
        <w:rFonts w:hint="default" w:ascii="Times New Roman" w:hAnsi="Times New Roman" w:eastAsia="宋体" w:cs="Times New Roman"/>
        <w:lang w:val="en-US" w:eastAsia="zh-CN" w:bidi="ar-SA"/>
      </w:rPr>
    </w:pPr>
    <w:r>
      <w:rPr>
        <w:rFonts w:hint="default" w:ascii="Times New Roman" w:hAnsi="Times New Roman" w:eastAsia="宋体" w:cs="Times New Roman"/>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6"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both"/>
                            <w:tabs>
                              <w:tab w:val="center" w:pos="7143" w:leader="none"/>
                              <w:tab w:val="right" w:pos="14287" w:leader="none"/>
                            </w:tabs>
                            <w:rPr>
                              <w:rFonts w:hint="default" w:ascii="Calibri" w:hAnsi="Calibri" w:eastAsia="宋体" w:cs="Times New Roman"/>
                              <w:sz w:val="21"/>
                              <w:szCs w:val="21"/>
                              <w:lang w:val="en-US" w:eastAsia="zh-CN" w:bidi="ar-SA"/>
                            </w:rPr>
                          </w:pPr>
                          <w:r>
                            <w:rPr>
                              <w:rFonts w:hint="default" w:ascii="Calibri" w:hAnsi="Calibri" w:eastAsia="宋体" w:cs="Times New Roman"/>
                              <w:sz w:val="21"/>
                              <w:szCs w:val="21"/>
                              <w:lang w:val="en-US" w:eastAsia="zh-CN" w:bidi="ar-SA"/>
                            </w:rPr>
                            <w:fldChar w:fldCharType="begin"/>
                          </w:r>
                          <w:r>
                            <w:rPr>
                              <w:rFonts w:hint="default" w:ascii="Calibri" w:hAnsi="Calibri" w:eastAsia="宋体" w:cs="Times New Roman"/>
                              <w:sz w:val="21"/>
                              <w:szCs w:val="21"/>
                              <w:lang w:val="en-US" w:eastAsia="zh-CN" w:bidi="ar-SA"/>
                            </w:rPr>
                            <w:instrText xml:space="preserve"> PAGE  \* MERGEFORMAT </w:instrText>
                          </w:r>
                          <w:r>
                            <w:rPr>
                              <w:rFonts w:hint="default" w:ascii="Calibri" w:hAnsi="Calibri" w:eastAsia="宋体" w:cs="Times New Roman"/>
                              <w:sz w:val="21"/>
                              <w:szCs w:val="21"/>
                              <w:lang w:val="en-US" w:eastAsia="zh-CN" w:bidi="ar-SA"/>
                            </w:rPr>
                            <w:fldChar w:fldCharType="separate"/>
                          </w:r>
                          <w:r>
                            <w:rPr>
                              <w:rFonts w:hint="default" w:ascii="Calibri" w:hAnsi="Calibri" w:eastAsia="宋体" w:cs="Times New Roman"/>
                              <w:sz w:val="21"/>
                              <w:szCs w:val="21"/>
                              <w:lang w:val="en-US" w:eastAsia="zh-CN" w:bidi="ar-SA"/>
                            </w:rPr>
                            <w:t xml:space="preserve">50</w:t>
                          </w:r>
                          <w:r>
                            <w:rPr>
                              <w:rFonts w:hint="default" w:ascii="Calibri" w:hAnsi="Calibri" w:eastAsia="宋体" w:cs="Times New Roman"/>
                              <w:sz w:val="21"/>
                              <w:szCs w:val="21"/>
                              <w:lang w:val="en-US" w:eastAsia="zh-CN" w:bidi="ar-SA"/>
                            </w:rP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2336;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jc w:val="both"/>
                      <w:tabs>
                        <w:tab w:val="center" w:pos="7143" w:leader="none"/>
                        <w:tab w:val="right" w:pos="14287" w:leader="none"/>
                      </w:tabs>
                      <w:rPr>
                        <w:rFonts w:hint="default" w:ascii="Calibri" w:hAnsi="Calibri" w:eastAsia="宋体" w:cs="Times New Roman"/>
                        <w:sz w:val="21"/>
                        <w:szCs w:val="21"/>
                        <w:lang w:val="en-US" w:eastAsia="zh-CN" w:bidi="ar-SA"/>
                      </w:rPr>
                    </w:pPr>
                    <w:r>
                      <w:rPr>
                        <w:rFonts w:hint="default" w:ascii="Calibri" w:hAnsi="Calibri" w:eastAsia="宋体" w:cs="Times New Roman"/>
                        <w:sz w:val="21"/>
                        <w:szCs w:val="21"/>
                        <w:lang w:val="en-US" w:eastAsia="zh-CN" w:bidi="ar-SA"/>
                      </w:rPr>
                      <w:fldChar w:fldCharType="begin"/>
                    </w:r>
                    <w:r>
                      <w:rPr>
                        <w:rFonts w:hint="default" w:ascii="Calibri" w:hAnsi="Calibri" w:eastAsia="宋体" w:cs="Times New Roman"/>
                        <w:sz w:val="21"/>
                        <w:szCs w:val="21"/>
                        <w:lang w:val="en-US" w:eastAsia="zh-CN" w:bidi="ar-SA"/>
                      </w:rPr>
                      <w:instrText xml:space="preserve"> PAGE  \* MERGEFORMAT </w:instrText>
                    </w:r>
                    <w:r>
                      <w:rPr>
                        <w:rFonts w:hint="default" w:ascii="Calibri" w:hAnsi="Calibri" w:eastAsia="宋体" w:cs="Times New Roman"/>
                        <w:sz w:val="21"/>
                        <w:szCs w:val="21"/>
                        <w:lang w:val="en-US" w:eastAsia="zh-CN" w:bidi="ar-SA"/>
                      </w:rPr>
                      <w:fldChar w:fldCharType="separate"/>
                    </w:r>
                    <w:r>
                      <w:rPr>
                        <w:rFonts w:hint="default" w:ascii="Calibri" w:hAnsi="Calibri" w:eastAsia="宋体" w:cs="Times New Roman"/>
                        <w:sz w:val="21"/>
                        <w:szCs w:val="21"/>
                        <w:lang w:val="en-US" w:eastAsia="zh-CN" w:bidi="ar-SA"/>
                      </w:rPr>
                      <w:t xml:space="preserve">50</w:t>
                    </w:r>
                    <w:r>
                      <w:rPr>
                        <w:rFonts w:hint="default" w:ascii="Calibri" w:hAnsi="Calibri" w:eastAsia="宋体" w:cs="Times New Roman"/>
                        <w:sz w:val="21"/>
                        <w:szCs w:val="21"/>
                        <w:lang w:val="en-US" w:eastAsia="zh-CN" w:bidi="ar-S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rPr>
        <w:rFonts w:hint="eastAsia" w:ascii="Adobe 仿宋 Std R" w:hAnsi="Adobe 仿宋 Std R" w:eastAsia="Adobe 仿宋 Std R" w:cs="Times New Roman"/>
        <w:b/>
        <w:spacing w:val="44"/>
        <w:sz w:val="32"/>
        <w:szCs w:val="32"/>
      </w:rPr>
    </w:pPr>
    <w:r>
      <w:rPr>
        <w:rFonts w:hint="eastAsia" w:ascii="Adobe 仿宋 Std R" w:hAnsi="Adobe 仿宋 Std R" w:eastAsia="Adobe 仿宋 Std R" w:cs="Times New Roman"/>
        <w:b/>
        <w:spacing w:val="44"/>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-16510</wp:posOffset>
              </wp:positionH>
              <wp:positionV relativeFrom="paragraph">
                <wp:posOffset>-71755</wp:posOffset>
              </wp:positionV>
              <wp:extent cx="702945" cy="416560"/>
              <wp:effectExtent l="0" t="0" r="1905" b="2540"/>
              <wp:wrapSquare wrapText="bothSides"/>
              <wp:docPr id="1" name="图片 3" descr="中经国际(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中经国际(LOGO).jpg"/>
                      <pic:cNvPicPr>
                        <a:picLocks noChangeAspect="1"/>
                      </pic:cNvPicPr>
                      <pic:nvPr/>
                    </pic:nvPicPr>
                    <pic:blipFill>
                      <a:blip r:embed="rId1"/>
                      <a:stretch/>
                    </pic:blipFill>
                    <pic:spPr bwMode="auto">
                      <a:xfrm>
                        <a:off x="0" y="0"/>
                        <a:ext cx="702945" cy="416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3360;o:allowoverlap:true;o:allowincell:true;mso-position-horizontal-relative:margin;margin-left:-1.3pt;mso-position-horizontal:absolute;mso-position-vertical-relative:text;margin-top:-5.6pt;mso-position-vertical:absolute;width:55.3pt;height:32.8pt;mso-wrap-distance-left:9.0pt;mso-wrap-distance-top:0.0pt;mso-wrap-distance-right:9.0pt;mso-wrap-distance-bottom:0.0pt;" stroked="f">
              <v:path textboxrect="0,0,0,0"/>
              <w10:wrap type="square"/>
              <v:imagedata r:id="rId1" o:title=""/>
            </v:shape>
          </w:pict>
        </mc:Fallback>
      </mc:AlternateContent>
    </w:r>
    <w:r>
      <w:rPr>
        <w:rFonts w:hint="eastAsia" w:ascii="Adobe 仿宋 Std R" w:hAnsi="Adobe 仿宋 Std R" w:eastAsia="Adobe 仿宋 Std R" w:cs="Times New Roman"/>
        <w:b/>
        <w:spacing w:val="44"/>
        <w:sz w:val="24"/>
        <w:szCs w:val="24"/>
      </w:rPr>
      <w:t xml:space="preserve">中经国际招标集团有限公司</w:t>
    </w:r>
    <w:r/>
  </w:p>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auto" w:sz="4" w:space="1"/>
      </w:pBdr>
    </w:pPr>
    <w:r>
      <w:rPr>
        <w:rFonts w:hint="eastAsia" w:ascii="Times New Roman" w:hAnsi="Times New Roman" w:eastAsia="宋体" w:cs="Times New Roman"/>
        <w:b/>
        <w:sz w:val="22"/>
        <w:szCs w:val="22"/>
        <w:lang w:val="en-US" w:eastAsia="zh-CN" w:bidi="ar-SA"/>
      </w:rPr>
      <w:t xml:space="preserve">                                  </w:t>
    </w:r>
    <w:r>
      <w:rPr>
        <w:rFonts w:hint="default" w:ascii="Times New Roman" w:hAnsi="Times New Roman" w:eastAsia="宋体" w:cs="Times New Roman"/>
        <w:b/>
        <w:sz w:val="22"/>
        <w:szCs w:val="22"/>
        <w:lang w:val="en-US" w:eastAsia="zh-CN" w:bidi="ar-SA"/>
      </w:rPr>
      <w:t xml:space="preserve">C</w:t>
    </w:r>
    <w:r>
      <w:rPr>
        <w:rFonts w:hint="eastAsia" w:ascii="Times New Roman" w:hAnsi="Times New Roman" w:eastAsia="宋体" w:cs="Times New Roman"/>
        <w:b/>
        <w:sz w:val="22"/>
        <w:szCs w:val="22"/>
        <w:lang w:val="en-US" w:eastAsia="zh-CN" w:bidi="ar-SA"/>
      </w:rPr>
      <w:t xml:space="preserve">hina Economic International Tendering Co .,LT  </w:t>
    </w:r>
    <w:r/>
  </w:p>
  <w:p>
    <w:pPr>
      <w:jc w:val="both"/>
      <w:tabs>
        <w:tab w:val="center" w:pos="7143" w:leader="none"/>
        <w:tab w:val="right" w:pos="14287" w:leader="none"/>
      </w:tabs>
      <w:rPr>
        <w:rFonts w:hint="default" w:ascii="Calibri" w:hAnsi="Calibri" w:eastAsia="宋体" w:cs="Times New Roman"/>
        <w:sz w:val="21"/>
        <w:szCs w:val="21"/>
        <w:lang w:val="en-US" w:eastAsia="zh-CN" w:bidi="ar-SA"/>
      </w:rPr>
    </w:pPr>
    <w:r>
      <w:rPr>
        <w:rFonts w:hint="default" w:ascii="Calibri" w:hAnsi="Calibri" w:eastAsia="宋体" w:cs="Times New Roman"/>
        <w:sz w:val="21"/>
        <w:szCs w:val="21"/>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rPr>
        <w:rFonts w:hint="eastAsia" w:ascii="Adobe 仿宋 Std R" w:hAnsi="Adobe 仿宋 Std R" w:eastAsia="Adobe 仿宋 Std R" w:cs="Times New Roman"/>
        <w:b/>
        <w:spacing w:val="44"/>
        <w:sz w:val="32"/>
        <w:szCs w:val="32"/>
      </w:rPr>
    </w:pPr>
    <w:r>
      <w:rPr>
        <w:rFonts w:hint="eastAsia" w:ascii="Adobe 仿宋 Std R" w:hAnsi="Adobe 仿宋 Std R" w:eastAsia="Adobe 仿宋 Std R" w:cs="Times New Roman"/>
        <w:b/>
        <w:spacing w:val="44"/>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-16510</wp:posOffset>
              </wp:positionH>
              <wp:positionV relativeFrom="paragraph">
                <wp:posOffset>-71755</wp:posOffset>
              </wp:positionV>
              <wp:extent cx="702945" cy="416560"/>
              <wp:effectExtent l="0" t="0" r="1905" b="2540"/>
              <wp:wrapSquare wrapText="bothSides"/>
              <wp:docPr id="2" name="图片 5" descr="中经国际(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5" descr="中经国际(LOGO).jpg"/>
                      <pic:cNvPicPr>
                        <a:picLocks noChangeAspect="1"/>
                      </pic:cNvPicPr>
                      <pic:nvPr/>
                    </pic:nvPicPr>
                    <pic:blipFill>
                      <a:blip r:embed="rId1"/>
                      <a:stretch/>
                    </pic:blipFill>
                    <pic:spPr bwMode="auto">
                      <a:xfrm>
                        <a:off x="0" y="0"/>
                        <a:ext cx="702945" cy="416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4384;o:allowoverlap:true;o:allowincell:true;mso-position-horizontal-relative:margin;margin-left:-1.3pt;mso-position-horizontal:absolute;mso-position-vertical-relative:text;margin-top:-5.6pt;mso-position-vertical:absolute;width:55.3pt;height:32.8pt;mso-wrap-distance-left:9.0pt;mso-wrap-distance-top:0.0pt;mso-wrap-distance-right:9.0pt;mso-wrap-distance-bottom:0.0pt;" stroked="f">
              <v:path textboxrect="0,0,0,0"/>
              <w10:wrap type="square"/>
              <v:imagedata r:id="rId1" o:title=""/>
            </v:shape>
          </w:pict>
        </mc:Fallback>
      </mc:AlternateContent>
    </w:r>
    <w:r>
      <w:rPr>
        <w:rFonts w:hint="eastAsia" w:ascii="Adobe 仿宋 Std R" w:hAnsi="Adobe 仿宋 Std R" w:eastAsia="Adobe 仿宋 Std R" w:cs="Times New Roman"/>
        <w:b/>
        <w:spacing w:val="44"/>
        <w:sz w:val="24"/>
        <w:szCs w:val="24"/>
      </w:rPr>
      <w:t xml:space="preserve">中经国际招标集团有限公司</w:t>
    </w:r>
    <w:r/>
  </w:p>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auto" w:sz="4" w:space="1"/>
      </w:pBdr>
    </w:pPr>
    <w:r>
      <w:rPr>
        <w:rFonts w:hint="eastAsia" w:ascii="Times New Roman" w:hAnsi="Times New Roman" w:eastAsia="宋体" w:cs="Times New Roman"/>
        <w:b/>
        <w:sz w:val="22"/>
        <w:szCs w:val="22"/>
        <w:lang w:val="en-US" w:eastAsia="zh-CN" w:bidi="ar-SA"/>
      </w:rPr>
      <w:t xml:space="preserve">                                  </w:t>
    </w:r>
    <w:r>
      <w:rPr>
        <w:rFonts w:hint="eastAsia" w:ascii="Times New Roman" w:hAnsi="Times New Roman" w:cs="Times New Roman"/>
        <w:b/>
        <w:sz w:val="22"/>
        <w:szCs w:val="22"/>
        <w:lang w:val="en-US" w:eastAsia="zh-CN" w:bidi="ar-SA"/>
      </w:rPr>
      <w:t xml:space="preserve">   </w:t>
    </w:r>
    <w:r>
      <w:rPr>
        <w:rFonts w:hint="default" w:ascii="Times New Roman" w:hAnsi="Times New Roman" w:eastAsia="宋体" w:cs="Times New Roman"/>
        <w:b/>
        <w:sz w:val="22"/>
        <w:szCs w:val="22"/>
        <w:lang w:val="en-US" w:eastAsia="zh-CN" w:bidi="ar-SA"/>
      </w:rPr>
      <w:t xml:space="preserve">C</w:t>
    </w:r>
    <w:r>
      <w:rPr>
        <w:rFonts w:hint="eastAsia" w:ascii="Times New Roman" w:hAnsi="Times New Roman" w:eastAsia="宋体" w:cs="Times New Roman"/>
        <w:b/>
        <w:sz w:val="22"/>
        <w:szCs w:val="22"/>
        <w:lang w:val="en-US" w:eastAsia="zh-CN" w:bidi="ar-SA"/>
      </w:rPr>
      <w:t xml:space="preserve">hina Economic International Tendering Co .,LT  </w:t>
    </w:r>
    <w:r/>
  </w:p>
  <w:p>
    <w:pPr>
      <w:jc w:val="both"/>
      <w:tabs>
        <w:tab w:val="center" w:pos="7143" w:leader="none"/>
        <w:tab w:val="right" w:pos="14287" w:leader="none"/>
      </w:tabs>
      <w:rPr>
        <w:rFonts w:hint="default" w:ascii="Calibri" w:hAnsi="Calibri" w:eastAsia="宋体" w:cs="Times New Roman"/>
        <w:sz w:val="21"/>
        <w:szCs w:val="21"/>
        <w:lang w:val="en-US" w:eastAsia="zh-CN" w:bidi="ar-SA"/>
      </w:rPr>
    </w:pPr>
    <w:r>
      <w:rPr>
        <w:rFonts w:hint="default" w:ascii="Calibri" w:hAnsi="Calibri" w:eastAsia="宋体" w:cs="Times New Roman"/>
        <w:sz w:val="21"/>
        <w:szCs w:val="21"/>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1">
    <w:name w:val="Heading 1"/>
    <w:basedOn w:val="1037"/>
    <w:next w:val="1037"/>
    <w:link w:val="862"/>
    <w:uiPriority w:val="9"/>
    <w:qFormat/>
    <w:pPr>
      <w:keepLines/>
      <w:keepNext/>
      <w:spacing w:before="480" w:after="200"/>
      <w:outlineLvl w:val="0"/>
    </w:pPr>
    <w:rPr>
      <w:rFonts w:ascii="Arial" w:hAnsi="Arial" w:eastAsia="Arial" w:cs="Arial"/>
      <w:sz w:val="40"/>
      <w:szCs w:val="40"/>
    </w:rPr>
  </w:style>
  <w:style w:type="character" w:styleId="862">
    <w:name w:val="Heading 1 Char"/>
    <w:basedOn w:val="1038"/>
    <w:link w:val="861"/>
    <w:uiPriority w:val="9"/>
    <w:rPr>
      <w:rFonts w:ascii="Arial" w:hAnsi="Arial" w:eastAsia="Arial" w:cs="Arial"/>
      <w:sz w:val="40"/>
      <w:szCs w:val="40"/>
    </w:rPr>
  </w:style>
  <w:style w:type="paragraph" w:styleId="863">
    <w:name w:val="Heading 2"/>
    <w:basedOn w:val="1037"/>
    <w:next w:val="1037"/>
    <w:link w:val="864"/>
    <w:uiPriority w:val="9"/>
    <w:unhideWhenUsed/>
    <w:qFormat/>
    <w:pPr>
      <w:keepLines/>
      <w:keepNext/>
      <w:spacing w:before="360" w:after="200"/>
      <w:outlineLvl w:val="1"/>
    </w:pPr>
    <w:rPr>
      <w:rFonts w:ascii="Arial" w:hAnsi="Arial" w:eastAsia="Arial" w:cs="Arial"/>
      <w:sz w:val="34"/>
    </w:rPr>
  </w:style>
  <w:style w:type="character" w:styleId="864">
    <w:name w:val="Heading 2 Char"/>
    <w:basedOn w:val="1038"/>
    <w:link w:val="863"/>
    <w:uiPriority w:val="9"/>
    <w:rPr>
      <w:rFonts w:ascii="Arial" w:hAnsi="Arial" w:eastAsia="Arial" w:cs="Arial"/>
      <w:sz w:val="34"/>
    </w:rPr>
  </w:style>
  <w:style w:type="paragraph" w:styleId="865">
    <w:name w:val="Heading 3"/>
    <w:basedOn w:val="1037"/>
    <w:next w:val="1037"/>
    <w:link w:val="866"/>
    <w:uiPriority w:val="9"/>
    <w:unhideWhenUsed/>
    <w:qFormat/>
    <w:pPr>
      <w:keepLines/>
      <w:keepNext/>
      <w:spacing w:before="320" w:after="200"/>
      <w:outlineLvl w:val="2"/>
    </w:pPr>
    <w:rPr>
      <w:rFonts w:ascii="Arial" w:hAnsi="Arial" w:eastAsia="Arial" w:cs="Arial"/>
      <w:sz w:val="30"/>
      <w:szCs w:val="30"/>
    </w:rPr>
  </w:style>
  <w:style w:type="character" w:styleId="866">
    <w:name w:val="Heading 3 Char"/>
    <w:basedOn w:val="1038"/>
    <w:link w:val="865"/>
    <w:uiPriority w:val="9"/>
    <w:rPr>
      <w:rFonts w:ascii="Arial" w:hAnsi="Arial" w:eastAsia="Arial" w:cs="Arial"/>
      <w:sz w:val="30"/>
      <w:szCs w:val="30"/>
    </w:rPr>
  </w:style>
  <w:style w:type="paragraph" w:styleId="867">
    <w:name w:val="Heading 4"/>
    <w:basedOn w:val="1037"/>
    <w:next w:val="1037"/>
    <w:link w:val="868"/>
    <w:uiPriority w:val="9"/>
    <w:unhideWhenUsed/>
    <w:qFormat/>
    <w:pPr>
      <w:keepLines/>
      <w:keepNext/>
      <w:spacing w:before="320" w:after="200"/>
      <w:outlineLvl w:val="3"/>
    </w:pPr>
    <w:rPr>
      <w:rFonts w:ascii="Arial" w:hAnsi="Arial" w:eastAsia="Arial" w:cs="Arial"/>
      <w:b/>
      <w:bCs/>
      <w:sz w:val="26"/>
      <w:szCs w:val="26"/>
    </w:rPr>
  </w:style>
  <w:style w:type="character" w:styleId="868">
    <w:name w:val="Heading 4 Char"/>
    <w:basedOn w:val="1038"/>
    <w:link w:val="867"/>
    <w:uiPriority w:val="9"/>
    <w:rPr>
      <w:rFonts w:ascii="Arial" w:hAnsi="Arial" w:eastAsia="Arial" w:cs="Arial"/>
      <w:b/>
      <w:bCs/>
      <w:sz w:val="26"/>
      <w:szCs w:val="26"/>
    </w:rPr>
  </w:style>
  <w:style w:type="paragraph" w:styleId="869">
    <w:name w:val="Heading 5"/>
    <w:basedOn w:val="1037"/>
    <w:next w:val="1037"/>
    <w:link w:val="870"/>
    <w:uiPriority w:val="9"/>
    <w:unhideWhenUsed/>
    <w:qFormat/>
    <w:pPr>
      <w:keepLines/>
      <w:keepNext/>
      <w:spacing w:before="320" w:after="200"/>
      <w:outlineLvl w:val="4"/>
    </w:pPr>
    <w:rPr>
      <w:rFonts w:ascii="Arial" w:hAnsi="Arial" w:eastAsia="Arial" w:cs="Arial"/>
      <w:b/>
      <w:bCs/>
      <w:sz w:val="24"/>
      <w:szCs w:val="24"/>
    </w:rPr>
  </w:style>
  <w:style w:type="character" w:styleId="870">
    <w:name w:val="Heading 5 Char"/>
    <w:basedOn w:val="1038"/>
    <w:link w:val="869"/>
    <w:uiPriority w:val="9"/>
    <w:rPr>
      <w:rFonts w:ascii="Arial" w:hAnsi="Arial" w:eastAsia="Arial" w:cs="Arial"/>
      <w:b/>
      <w:bCs/>
      <w:sz w:val="24"/>
      <w:szCs w:val="24"/>
    </w:rPr>
  </w:style>
  <w:style w:type="paragraph" w:styleId="871">
    <w:name w:val="Heading 6"/>
    <w:basedOn w:val="1037"/>
    <w:next w:val="1037"/>
    <w:link w:val="872"/>
    <w:uiPriority w:val="9"/>
    <w:unhideWhenUsed/>
    <w:qFormat/>
    <w:pPr>
      <w:keepLines/>
      <w:keepNext/>
      <w:spacing w:before="320" w:after="200"/>
      <w:outlineLvl w:val="5"/>
    </w:pPr>
    <w:rPr>
      <w:rFonts w:ascii="Arial" w:hAnsi="Arial" w:eastAsia="Arial" w:cs="Arial"/>
      <w:b/>
      <w:bCs/>
      <w:sz w:val="22"/>
      <w:szCs w:val="22"/>
    </w:rPr>
  </w:style>
  <w:style w:type="character" w:styleId="872">
    <w:name w:val="Heading 6 Char"/>
    <w:basedOn w:val="1038"/>
    <w:link w:val="871"/>
    <w:uiPriority w:val="9"/>
    <w:rPr>
      <w:rFonts w:ascii="Arial" w:hAnsi="Arial" w:eastAsia="Arial" w:cs="Arial"/>
      <w:b/>
      <w:bCs/>
      <w:sz w:val="22"/>
      <w:szCs w:val="22"/>
    </w:rPr>
  </w:style>
  <w:style w:type="paragraph" w:styleId="873">
    <w:name w:val="Heading 7"/>
    <w:basedOn w:val="1037"/>
    <w:next w:val="1037"/>
    <w:link w:val="874"/>
    <w:uiPriority w:val="9"/>
    <w:unhideWhenUsed/>
    <w:qFormat/>
    <w:pPr>
      <w:keepLines/>
      <w:keepNext/>
      <w:spacing w:before="320" w:after="200"/>
      <w:outlineLvl w:val="6"/>
    </w:pPr>
    <w:rPr>
      <w:rFonts w:ascii="Arial" w:hAnsi="Arial" w:eastAsia="Arial" w:cs="Arial"/>
      <w:b/>
      <w:bCs/>
      <w:i/>
      <w:iCs/>
      <w:sz w:val="22"/>
      <w:szCs w:val="22"/>
    </w:rPr>
  </w:style>
  <w:style w:type="character" w:styleId="874">
    <w:name w:val="Heading 7 Char"/>
    <w:basedOn w:val="1038"/>
    <w:link w:val="873"/>
    <w:uiPriority w:val="9"/>
    <w:rPr>
      <w:rFonts w:ascii="Arial" w:hAnsi="Arial" w:eastAsia="Arial" w:cs="Arial"/>
      <w:b/>
      <w:bCs/>
      <w:i/>
      <w:iCs/>
      <w:sz w:val="22"/>
      <w:szCs w:val="22"/>
    </w:rPr>
  </w:style>
  <w:style w:type="paragraph" w:styleId="875">
    <w:name w:val="Heading 8"/>
    <w:basedOn w:val="1037"/>
    <w:next w:val="1037"/>
    <w:link w:val="876"/>
    <w:uiPriority w:val="9"/>
    <w:unhideWhenUsed/>
    <w:qFormat/>
    <w:pPr>
      <w:keepLines/>
      <w:keepNext/>
      <w:spacing w:before="320" w:after="200"/>
      <w:outlineLvl w:val="7"/>
    </w:pPr>
    <w:rPr>
      <w:rFonts w:ascii="Arial" w:hAnsi="Arial" w:eastAsia="Arial" w:cs="Arial"/>
      <w:i/>
      <w:iCs/>
      <w:sz w:val="22"/>
      <w:szCs w:val="22"/>
    </w:rPr>
  </w:style>
  <w:style w:type="character" w:styleId="876">
    <w:name w:val="Heading 8 Char"/>
    <w:basedOn w:val="1038"/>
    <w:link w:val="875"/>
    <w:uiPriority w:val="9"/>
    <w:rPr>
      <w:rFonts w:ascii="Arial" w:hAnsi="Arial" w:eastAsia="Arial" w:cs="Arial"/>
      <w:i/>
      <w:iCs/>
      <w:sz w:val="22"/>
      <w:szCs w:val="22"/>
    </w:rPr>
  </w:style>
  <w:style w:type="paragraph" w:styleId="877">
    <w:name w:val="Heading 9"/>
    <w:basedOn w:val="1037"/>
    <w:next w:val="1037"/>
    <w:link w:val="878"/>
    <w:uiPriority w:val="9"/>
    <w:unhideWhenUsed/>
    <w:qFormat/>
    <w:pPr>
      <w:keepLines/>
      <w:keepNext/>
      <w:spacing w:before="320" w:after="200"/>
      <w:outlineLvl w:val="8"/>
    </w:pPr>
    <w:rPr>
      <w:rFonts w:ascii="Arial" w:hAnsi="Arial" w:eastAsia="Arial" w:cs="Arial"/>
      <w:i/>
      <w:iCs/>
      <w:sz w:val="21"/>
      <w:szCs w:val="21"/>
    </w:rPr>
  </w:style>
  <w:style w:type="character" w:styleId="878">
    <w:name w:val="Heading 9 Char"/>
    <w:basedOn w:val="1038"/>
    <w:link w:val="877"/>
    <w:uiPriority w:val="9"/>
    <w:rPr>
      <w:rFonts w:ascii="Arial" w:hAnsi="Arial" w:eastAsia="Arial" w:cs="Arial"/>
      <w:i/>
      <w:iCs/>
      <w:sz w:val="21"/>
      <w:szCs w:val="21"/>
    </w:rPr>
  </w:style>
  <w:style w:type="paragraph" w:styleId="879">
    <w:name w:val="List Paragraph"/>
    <w:basedOn w:val="1037"/>
    <w:uiPriority w:val="34"/>
    <w:qFormat/>
    <w:pPr>
      <w:contextualSpacing/>
      <w:ind w:left="720"/>
    </w:pPr>
  </w:style>
  <w:style w:type="paragraph" w:styleId="880">
    <w:name w:val="No Spacing"/>
    <w:uiPriority w:val="1"/>
    <w:qFormat/>
    <w:pPr>
      <w:spacing w:before="0" w:after="0" w:line="240" w:lineRule="auto"/>
    </w:pPr>
  </w:style>
  <w:style w:type="paragraph" w:styleId="881">
    <w:name w:val="Title"/>
    <w:basedOn w:val="1037"/>
    <w:next w:val="1037"/>
    <w:link w:val="882"/>
    <w:uiPriority w:val="10"/>
    <w:qFormat/>
    <w:pPr>
      <w:contextualSpacing/>
      <w:spacing w:before="300" w:after="200"/>
    </w:pPr>
    <w:rPr>
      <w:sz w:val="48"/>
      <w:szCs w:val="48"/>
    </w:rPr>
  </w:style>
  <w:style w:type="character" w:styleId="882">
    <w:name w:val="Title Char"/>
    <w:basedOn w:val="1038"/>
    <w:link w:val="881"/>
    <w:uiPriority w:val="10"/>
    <w:rPr>
      <w:sz w:val="48"/>
      <w:szCs w:val="48"/>
    </w:rPr>
  </w:style>
  <w:style w:type="paragraph" w:styleId="883">
    <w:name w:val="Subtitle"/>
    <w:basedOn w:val="1037"/>
    <w:next w:val="1037"/>
    <w:link w:val="884"/>
    <w:uiPriority w:val="11"/>
    <w:qFormat/>
    <w:pPr>
      <w:spacing w:before="200" w:after="200"/>
    </w:pPr>
    <w:rPr>
      <w:sz w:val="24"/>
      <w:szCs w:val="24"/>
    </w:rPr>
  </w:style>
  <w:style w:type="character" w:styleId="884">
    <w:name w:val="Subtitle Char"/>
    <w:basedOn w:val="1038"/>
    <w:link w:val="883"/>
    <w:uiPriority w:val="11"/>
    <w:rPr>
      <w:sz w:val="24"/>
      <w:szCs w:val="24"/>
    </w:rPr>
  </w:style>
  <w:style w:type="paragraph" w:styleId="885">
    <w:name w:val="Quote"/>
    <w:basedOn w:val="1037"/>
    <w:next w:val="1037"/>
    <w:link w:val="886"/>
    <w:uiPriority w:val="29"/>
    <w:qFormat/>
    <w:pPr>
      <w:ind w:left="720" w:right="720"/>
    </w:pPr>
    <w:rPr>
      <w:i/>
    </w:rPr>
  </w:style>
  <w:style w:type="character" w:styleId="886">
    <w:name w:val="Quote Char"/>
    <w:link w:val="885"/>
    <w:uiPriority w:val="29"/>
    <w:rPr>
      <w:i/>
    </w:rPr>
  </w:style>
  <w:style w:type="paragraph" w:styleId="887">
    <w:name w:val="Intense Quote"/>
    <w:basedOn w:val="1037"/>
    <w:next w:val="1037"/>
    <w:link w:val="8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8">
    <w:name w:val="Intense Quote Char"/>
    <w:link w:val="887"/>
    <w:uiPriority w:val="30"/>
    <w:rPr>
      <w:i/>
    </w:rPr>
  </w:style>
  <w:style w:type="paragraph" w:styleId="889">
    <w:name w:val="Header"/>
    <w:basedOn w:val="1037"/>
    <w:link w:val="890"/>
    <w:uiPriority w:val="99"/>
    <w:unhideWhenUsed/>
    <w:pPr>
      <w:spacing w:after="0" w:line="240" w:lineRule="auto"/>
      <w:tabs>
        <w:tab w:val="center" w:pos="7143" w:leader="none"/>
        <w:tab w:val="right" w:pos="14287" w:leader="none"/>
      </w:tabs>
    </w:pPr>
  </w:style>
  <w:style w:type="character" w:styleId="890">
    <w:name w:val="Header Char"/>
    <w:basedOn w:val="1038"/>
    <w:link w:val="889"/>
    <w:uiPriority w:val="99"/>
  </w:style>
  <w:style w:type="character" w:styleId="891">
    <w:name w:val="Footer Char"/>
    <w:basedOn w:val="1038"/>
    <w:link w:val="1040"/>
    <w:uiPriority w:val="99"/>
  </w:style>
  <w:style w:type="paragraph" w:styleId="892">
    <w:name w:val="Caption"/>
    <w:basedOn w:val="1037"/>
    <w:next w:val="1037"/>
    <w:uiPriority w:val="35"/>
    <w:semiHidden/>
    <w:unhideWhenUsed/>
    <w:qFormat/>
    <w:pPr>
      <w:spacing w:line="276" w:lineRule="auto"/>
    </w:pPr>
    <w:rPr>
      <w:b/>
      <w:bCs/>
      <w:color w:val="4f81bd" w:themeColor="accent1"/>
      <w:sz w:val="18"/>
      <w:szCs w:val="18"/>
    </w:rPr>
  </w:style>
  <w:style w:type="character" w:styleId="893">
    <w:name w:val="Caption Char"/>
    <w:basedOn w:val="892"/>
    <w:link w:val="1040"/>
    <w:uiPriority w:val="99"/>
  </w:style>
  <w:style w:type="table" w:styleId="894">
    <w:name w:val="Table Grid Light"/>
    <w:basedOn w:val="10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5">
    <w:name w:val="Plain Table 1"/>
    <w:basedOn w:val="10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6">
    <w:name w:val="Plain Table 2"/>
    <w:basedOn w:val="10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7">
    <w:name w:val="Plain Table 3"/>
    <w:basedOn w:val="10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8">
    <w:name w:val="Plain Table 4"/>
    <w:basedOn w:val="10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9">
    <w:name w:val="Plain Table 5"/>
    <w:basedOn w:val="10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0">
    <w:name w:val="Grid Table 1 Light"/>
    <w:basedOn w:val="10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1">
    <w:name w:val="Grid Table 1 Light - Accent 1"/>
    <w:basedOn w:val="10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2">
    <w:name w:val="Grid Table 1 Light - Accent 2"/>
    <w:basedOn w:val="10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3">
    <w:name w:val="Grid Table 1 Light - Accent 3"/>
    <w:basedOn w:val="10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4">
    <w:name w:val="Grid Table 1 Light - Accent 4"/>
    <w:basedOn w:val="10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5">
    <w:name w:val="Grid Table 1 Light - Accent 5"/>
    <w:basedOn w:val="10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6">
    <w:name w:val="Grid Table 1 Light - Accent 6"/>
    <w:basedOn w:val="10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7">
    <w:name w:val="Grid Table 2"/>
    <w:basedOn w:val="10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8">
    <w:name w:val="Grid Table 2 - Accent 1"/>
    <w:basedOn w:val="10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9">
    <w:name w:val="Grid Table 2 - Accent 2"/>
    <w:basedOn w:val="10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0">
    <w:name w:val="Grid Table 2 - Accent 3"/>
    <w:basedOn w:val="10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1">
    <w:name w:val="Grid Table 2 - Accent 4"/>
    <w:basedOn w:val="10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2">
    <w:name w:val="Grid Table 2 - Accent 5"/>
    <w:basedOn w:val="10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3">
    <w:name w:val="Grid Table 2 - Accent 6"/>
    <w:basedOn w:val="10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4">
    <w:name w:val="Grid Table 3"/>
    <w:basedOn w:val="10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1"/>
    <w:basedOn w:val="10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2"/>
    <w:basedOn w:val="10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3"/>
    <w:basedOn w:val="10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4"/>
    <w:basedOn w:val="10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5"/>
    <w:basedOn w:val="10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6"/>
    <w:basedOn w:val="10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4"/>
    <w:basedOn w:val="10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2">
    <w:name w:val="Grid Table 4 - Accent 1"/>
    <w:basedOn w:val="103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3">
    <w:name w:val="Grid Table 4 - Accent 2"/>
    <w:basedOn w:val="103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4">
    <w:name w:val="Grid Table 4 - Accent 3"/>
    <w:basedOn w:val="103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5">
    <w:name w:val="Grid Table 4 - Accent 4"/>
    <w:basedOn w:val="103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6">
    <w:name w:val="Grid Table 4 - Accent 5"/>
    <w:basedOn w:val="103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7">
    <w:name w:val="Grid Table 4 - Accent 6"/>
    <w:basedOn w:val="103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8">
    <w:name w:val="Grid Table 5 Dark"/>
    <w:basedOn w:val="10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9">
    <w:name w:val="Grid Table 5 Dark- Accent 1"/>
    <w:basedOn w:val="10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30">
    <w:name w:val="Grid Table 5 Dark - Accent 2"/>
    <w:basedOn w:val="10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31">
    <w:name w:val="Grid Table 5 Dark - Accent 3"/>
    <w:basedOn w:val="10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32">
    <w:name w:val="Grid Table 5 Dark- Accent 4"/>
    <w:basedOn w:val="10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33">
    <w:name w:val="Grid Table 5 Dark - Accent 5"/>
    <w:basedOn w:val="10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34">
    <w:name w:val="Grid Table 5 Dark - Accent 6"/>
    <w:basedOn w:val="10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35">
    <w:name w:val="Grid Table 6 Colorful"/>
    <w:basedOn w:val="10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6">
    <w:name w:val="Grid Table 6 Colorful - Accent 1"/>
    <w:basedOn w:val="103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37">
    <w:name w:val="Grid Table 6 Colorful - Accent 2"/>
    <w:basedOn w:val="10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38">
    <w:name w:val="Grid Table 6 Colorful - Accent 3"/>
    <w:basedOn w:val="103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9">
    <w:name w:val="Grid Table 6 Colorful - Accent 4"/>
    <w:basedOn w:val="10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0">
    <w:name w:val="Grid Table 6 Colorful - Accent 5"/>
    <w:basedOn w:val="103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41">
    <w:name w:val="Grid Table 6 Colorful - Accent 6"/>
    <w:basedOn w:val="103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42">
    <w:name w:val="Grid Table 7 Colorful"/>
    <w:basedOn w:val="10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3">
    <w:name w:val="Grid Table 7 Colorful - Accent 1"/>
    <w:basedOn w:val="103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4">
    <w:name w:val="Grid Table 7 Colorful - Accent 2"/>
    <w:basedOn w:val="103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7 Colorful - Accent 3"/>
    <w:basedOn w:val="103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7 Colorful - Accent 4"/>
    <w:basedOn w:val="103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7 Colorful - Accent 5"/>
    <w:basedOn w:val="103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8">
    <w:name w:val="Grid Table 7 Colorful - Accent 6"/>
    <w:basedOn w:val="103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9">
    <w:name w:val="List Table 1 Light"/>
    <w:basedOn w:val="10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0">
    <w:name w:val="List Table 1 Light - Accent 1"/>
    <w:basedOn w:val="103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1">
    <w:name w:val="List Table 1 Light - Accent 2"/>
    <w:basedOn w:val="103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2">
    <w:name w:val="List Table 1 Light - Accent 3"/>
    <w:basedOn w:val="103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3">
    <w:name w:val="List Table 1 Light - Accent 4"/>
    <w:basedOn w:val="103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4">
    <w:name w:val="List Table 1 Light - Accent 5"/>
    <w:basedOn w:val="103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5">
    <w:name w:val="List Table 1 Light - Accent 6"/>
    <w:basedOn w:val="103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6">
    <w:name w:val="List Table 2"/>
    <w:basedOn w:val="10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7">
    <w:name w:val="List Table 2 - Accent 1"/>
    <w:basedOn w:val="103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8">
    <w:name w:val="List Table 2 - Accent 2"/>
    <w:basedOn w:val="103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9">
    <w:name w:val="List Table 2 - Accent 3"/>
    <w:basedOn w:val="103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0">
    <w:name w:val="List Table 2 - Accent 4"/>
    <w:basedOn w:val="103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1">
    <w:name w:val="List Table 2 - Accent 5"/>
    <w:basedOn w:val="103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2">
    <w:name w:val="List Table 2 - Accent 6"/>
    <w:basedOn w:val="103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3">
    <w:name w:val="List Table 3"/>
    <w:basedOn w:val="10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4">
    <w:name w:val="List Table 3 - Accent 1"/>
    <w:basedOn w:val="103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65">
    <w:name w:val="List Table 3 - Accent 2"/>
    <w:basedOn w:val="10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66">
    <w:name w:val="List Table 3 - Accent 3"/>
    <w:basedOn w:val="103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67">
    <w:name w:val="List Table 3 - Accent 4"/>
    <w:basedOn w:val="10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68">
    <w:name w:val="List Table 3 - Accent 5"/>
    <w:basedOn w:val="103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69">
    <w:name w:val="List Table 3 - Accent 6"/>
    <w:basedOn w:val="103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70">
    <w:name w:val="List Table 4"/>
    <w:basedOn w:val="10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1">
    <w:name w:val="List Table 4 - Accent 1"/>
    <w:basedOn w:val="103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72">
    <w:name w:val="List Table 4 - Accent 2"/>
    <w:basedOn w:val="103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73">
    <w:name w:val="List Table 4 - Accent 3"/>
    <w:basedOn w:val="103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74">
    <w:name w:val="List Table 4 - Accent 4"/>
    <w:basedOn w:val="103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75">
    <w:name w:val="List Table 4 - Accent 5"/>
    <w:basedOn w:val="103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76">
    <w:name w:val="List Table 4 - Accent 6"/>
    <w:basedOn w:val="103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77">
    <w:name w:val="List Table 5 Dark"/>
    <w:basedOn w:val="10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1"/>
    <w:basedOn w:val="103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2"/>
    <w:basedOn w:val="103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3"/>
    <w:basedOn w:val="103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4"/>
    <w:basedOn w:val="103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5"/>
    <w:basedOn w:val="103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6"/>
    <w:basedOn w:val="103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6 Colorful"/>
    <w:basedOn w:val="10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5">
    <w:name w:val="List Table 6 Colorful - Accent 1"/>
    <w:basedOn w:val="103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86">
    <w:name w:val="List Table 6 Colorful - Accent 2"/>
    <w:basedOn w:val="103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87">
    <w:name w:val="List Table 6 Colorful - Accent 3"/>
    <w:basedOn w:val="103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88">
    <w:name w:val="List Table 6 Colorful - Accent 4"/>
    <w:basedOn w:val="103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89">
    <w:name w:val="List Table 6 Colorful - Accent 5"/>
    <w:basedOn w:val="103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90">
    <w:name w:val="List Table 6 Colorful - Accent 6"/>
    <w:basedOn w:val="103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91">
    <w:name w:val="List Table 7 Colorful"/>
    <w:basedOn w:val="10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2">
    <w:name w:val="List Table 7 Colorful - Accent 1"/>
    <w:basedOn w:val="103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93">
    <w:name w:val="List Table 7 Colorful - Accent 2"/>
    <w:basedOn w:val="103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94">
    <w:name w:val="List Table 7 Colorful - Accent 3"/>
    <w:basedOn w:val="103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95">
    <w:name w:val="List Table 7 Colorful - Accent 4"/>
    <w:basedOn w:val="103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96">
    <w:name w:val="List Table 7 Colorful - Accent 5"/>
    <w:basedOn w:val="103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97">
    <w:name w:val="List Table 7 Colorful - Accent 6"/>
    <w:basedOn w:val="103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98">
    <w:name w:val="Lined - Accent"/>
    <w:basedOn w:val="10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9">
    <w:name w:val="Lined - Accent 1"/>
    <w:basedOn w:val="10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00">
    <w:name w:val="Lined - Accent 2"/>
    <w:basedOn w:val="10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01">
    <w:name w:val="Lined - Accent 3"/>
    <w:basedOn w:val="10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02">
    <w:name w:val="Lined - Accent 4"/>
    <w:basedOn w:val="10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03">
    <w:name w:val="Lined - Accent 5"/>
    <w:basedOn w:val="10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04">
    <w:name w:val="Lined - Accent 6"/>
    <w:basedOn w:val="10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05">
    <w:name w:val="Bordered &amp; Lined - Accent"/>
    <w:basedOn w:val="103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6">
    <w:name w:val="Bordered &amp; Lined - Accent 1"/>
    <w:basedOn w:val="103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07">
    <w:name w:val="Bordered &amp; Lined - Accent 2"/>
    <w:basedOn w:val="103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08">
    <w:name w:val="Bordered &amp; Lined - Accent 3"/>
    <w:basedOn w:val="103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09">
    <w:name w:val="Bordered &amp; Lined - Accent 4"/>
    <w:basedOn w:val="103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10">
    <w:name w:val="Bordered &amp; Lined - Accent 5"/>
    <w:basedOn w:val="103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11">
    <w:name w:val="Bordered &amp; Lined - Accent 6"/>
    <w:basedOn w:val="103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12">
    <w:name w:val="Bordered"/>
    <w:basedOn w:val="103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3">
    <w:name w:val="Bordered - Accent 1"/>
    <w:basedOn w:val="10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4">
    <w:name w:val="Bordered - Accent 2"/>
    <w:basedOn w:val="10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5">
    <w:name w:val="Bordered - Accent 3"/>
    <w:basedOn w:val="10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6">
    <w:name w:val="Bordered - Accent 4"/>
    <w:basedOn w:val="10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7">
    <w:name w:val="Bordered - Accent 5"/>
    <w:basedOn w:val="10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8">
    <w:name w:val="Bordered - Accent 6"/>
    <w:basedOn w:val="10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9">
    <w:name w:val="Hyperlink"/>
    <w:uiPriority w:val="99"/>
    <w:unhideWhenUsed/>
    <w:rPr>
      <w:color w:val="0000ff" w:themeColor="hyperlink"/>
      <w:u w:val="single"/>
    </w:rPr>
  </w:style>
  <w:style w:type="paragraph" w:styleId="1020">
    <w:name w:val="footnote text"/>
    <w:basedOn w:val="1037"/>
    <w:link w:val="1021"/>
    <w:uiPriority w:val="99"/>
    <w:semiHidden/>
    <w:unhideWhenUsed/>
    <w:pPr>
      <w:spacing w:after="40" w:line="240" w:lineRule="auto"/>
    </w:pPr>
    <w:rPr>
      <w:sz w:val="18"/>
    </w:rPr>
  </w:style>
  <w:style w:type="character" w:styleId="1021">
    <w:name w:val="Footnote Text Char"/>
    <w:link w:val="1020"/>
    <w:uiPriority w:val="99"/>
    <w:rPr>
      <w:sz w:val="18"/>
    </w:rPr>
  </w:style>
  <w:style w:type="character" w:styleId="1022">
    <w:name w:val="footnote reference"/>
    <w:basedOn w:val="1038"/>
    <w:uiPriority w:val="99"/>
    <w:unhideWhenUsed/>
    <w:rPr>
      <w:vertAlign w:val="superscript"/>
    </w:rPr>
  </w:style>
  <w:style w:type="paragraph" w:styleId="1023">
    <w:name w:val="endnote text"/>
    <w:basedOn w:val="1037"/>
    <w:link w:val="1024"/>
    <w:uiPriority w:val="99"/>
    <w:semiHidden/>
    <w:unhideWhenUsed/>
    <w:pPr>
      <w:spacing w:after="0" w:line="240" w:lineRule="auto"/>
    </w:pPr>
    <w:rPr>
      <w:sz w:val="20"/>
    </w:rPr>
  </w:style>
  <w:style w:type="character" w:styleId="1024">
    <w:name w:val="Endnote Text Char"/>
    <w:link w:val="1023"/>
    <w:uiPriority w:val="99"/>
    <w:rPr>
      <w:sz w:val="20"/>
    </w:rPr>
  </w:style>
  <w:style w:type="character" w:styleId="1025">
    <w:name w:val="endnote reference"/>
    <w:basedOn w:val="1038"/>
    <w:uiPriority w:val="99"/>
    <w:semiHidden/>
    <w:unhideWhenUsed/>
    <w:rPr>
      <w:vertAlign w:val="superscript"/>
    </w:rPr>
  </w:style>
  <w:style w:type="paragraph" w:styleId="1026">
    <w:name w:val="toc 1"/>
    <w:basedOn w:val="1037"/>
    <w:next w:val="1037"/>
    <w:uiPriority w:val="39"/>
    <w:unhideWhenUsed/>
    <w:pPr>
      <w:ind w:left="0" w:right="0" w:firstLine="0"/>
      <w:spacing w:after="57"/>
    </w:pPr>
  </w:style>
  <w:style w:type="paragraph" w:styleId="1027">
    <w:name w:val="toc 2"/>
    <w:basedOn w:val="1037"/>
    <w:next w:val="1037"/>
    <w:uiPriority w:val="39"/>
    <w:unhideWhenUsed/>
    <w:pPr>
      <w:ind w:left="283" w:right="0" w:firstLine="0"/>
      <w:spacing w:after="57"/>
    </w:pPr>
  </w:style>
  <w:style w:type="paragraph" w:styleId="1028">
    <w:name w:val="toc 3"/>
    <w:basedOn w:val="1037"/>
    <w:next w:val="1037"/>
    <w:uiPriority w:val="39"/>
    <w:unhideWhenUsed/>
    <w:pPr>
      <w:ind w:left="567" w:right="0" w:firstLine="0"/>
      <w:spacing w:after="57"/>
    </w:pPr>
  </w:style>
  <w:style w:type="paragraph" w:styleId="1029">
    <w:name w:val="toc 4"/>
    <w:basedOn w:val="1037"/>
    <w:next w:val="1037"/>
    <w:uiPriority w:val="39"/>
    <w:unhideWhenUsed/>
    <w:pPr>
      <w:ind w:left="850" w:right="0" w:firstLine="0"/>
      <w:spacing w:after="57"/>
    </w:pPr>
  </w:style>
  <w:style w:type="paragraph" w:styleId="1030">
    <w:name w:val="toc 5"/>
    <w:basedOn w:val="1037"/>
    <w:next w:val="1037"/>
    <w:uiPriority w:val="39"/>
    <w:unhideWhenUsed/>
    <w:pPr>
      <w:ind w:left="1134" w:right="0" w:firstLine="0"/>
      <w:spacing w:after="57"/>
    </w:pPr>
  </w:style>
  <w:style w:type="paragraph" w:styleId="1031">
    <w:name w:val="toc 6"/>
    <w:basedOn w:val="1037"/>
    <w:next w:val="1037"/>
    <w:uiPriority w:val="39"/>
    <w:unhideWhenUsed/>
    <w:pPr>
      <w:ind w:left="1417" w:right="0" w:firstLine="0"/>
      <w:spacing w:after="57"/>
    </w:pPr>
  </w:style>
  <w:style w:type="paragraph" w:styleId="1032">
    <w:name w:val="toc 7"/>
    <w:basedOn w:val="1037"/>
    <w:next w:val="1037"/>
    <w:uiPriority w:val="39"/>
    <w:unhideWhenUsed/>
    <w:pPr>
      <w:ind w:left="1701" w:right="0" w:firstLine="0"/>
      <w:spacing w:after="57"/>
    </w:pPr>
  </w:style>
  <w:style w:type="paragraph" w:styleId="1033">
    <w:name w:val="toc 8"/>
    <w:basedOn w:val="1037"/>
    <w:next w:val="1037"/>
    <w:uiPriority w:val="39"/>
    <w:unhideWhenUsed/>
    <w:pPr>
      <w:ind w:left="1984" w:right="0" w:firstLine="0"/>
      <w:spacing w:after="57"/>
    </w:pPr>
  </w:style>
  <w:style w:type="paragraph" w:styleId="1034">
    <w:name w:val="toc 9"/>
    <w:basedOn w:val="1037"/>
    <w:next w:val="1037"/>
    <w:uiPriority w:val="39"/>
    <w:unhideWhenUsed/>
    <w:pPr>
      <w:ind w:left="2268" w:right="0" w:firstLine="0"/>
      <w:spacing w:after="57"/>
    </w:pPr>
  </w:style>
  <w:style w:type="paragraph" w:styleId="1035">
    <w:name w:val="TOC Heading"/>
    <w:uiPriority w:val="39"/>
    <w:unhideWhenUsed/>
  </w:style>
  <w:style w:type="paragraph" w:styleId="1036">
    <w:name w:val="table of figures"/>
    <w:basedOn w:val="1037"/>
    <w:next w:val="1037"/>
    <w:uiPriority w:val="99"/>
    <w:unhideWhenUsed/>
    <w:pPr>
      <w:spacing w:after="0" w:afterAutospacing="0"/>
    </w:pPr>
  </w:style>
  <w:style w:type="paragraph" w:styleId="1037" w:default="1">
    <w:name w:val="Normal"/>
    <w:uiPriority w:val="0"/>
    <w:qFormat/>
    <w:pPr>
      <w:jc w:val="both"/>
      <w:widowControl w:val="off"/>
    </w:pPr>
    <w:rPr>
      <w:rFonts w:ascii="Calibri" w:hAnsi="Calibri" w:eastAsia="宋体" w:cs="Times New Roman"/>
      <w:sz w:val="21"/>
      <w:szCs w:val="24"/>
      <w:lang w:val="en-US" w:eastAsia="zh-CN" w:bidi="ar-SA"/>
    </w:rPr>
  </w:style>
  <w:style w:type="character" w:styleId="1038" w:default="1">
    <w:name w:val="Default Paragraph Font"/>
    <w:uiPriority w:val="0"/>
    <w:semiHidden/>
    <w:qFormat/>
  </w:style>
  <w:style w:type="table" w:styleId="1039" w:default="1">
    <w:name w:val="Normal Table"/>
    <w:uiPriority w:val="0"/>
    <w:semiHidden/>
    <w:tblPr>
      <w:tblCellMar>
        <w:left w:w="108" w:type="dxa"/>
        <w:top w:w="0" w:type="dxa"/>
        <w:right w:w="108" w:type="dxa"/>
        <w:bottom w:w="0" w:type="dxa"/>
      </w:tblCellMar>
    </w:tblPr>
  </w:style>
  <w:style w:type="paragraph" w:styleId="1040">
    <w:name w:val="Footer"/>
    <w:uiPriority w:val="0"/>
    <w:qFormat/>
    <w:pPr>
      <w:jc w:val="left"/>
      <w:widowControl w:val="off"/>
      <w:tabs>
        <w:tab w:val="center" w:pos="4153" w:leader="none"/>
        <w:tab w:val="right" w:pos="8306" w:leader="none"/>
      </w:tabs>
    </w:pPr>
    <w:rPr>
      <w:rFonts w:ascii="Calibri" w:hAnsi="Calibri" w:eastAsia="宋体" w:cs="Times New Roman"/>
      <w:sz w:val="18"/>
      <w:szCs w:val="24"/>
      <w:lang w:val="en-US" w:eastAsia="zh-CN" w:bidi="ar-SA"/>
    </w:rPr>
  </w:style>
  <w:style w:type="table" w:styleId="1041">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numbering" w:styleId="10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2.png"/><Relationship Id="rId18" Type="http://schemas.openxmlformats.org/officeDocument/2006/relationships/image" Target="media/image3.jpg"/><Relationship Id="rId19" Type="http://schemas.openxmlformats.org/officeDocument/2006/relationships/image" Target="media/image4.jpg"/><Relationship Id="rId20" Type="http://schemas.openxmlformats.org/officeDocument/2006/relationships/image" Target="media/image5.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一枝独秀</dc:creator>
  <cp:lastModifiedBy>王静</cp:lastModifiedBy>
  <cp:revision>4</cp:revision>
  <dcterms:created xsi:type="dcterms:W3CDTF">2026-05-28T02:38:00Z</dcterms:created>
  <dcterms:modified xsi:type="dcterms:W3CDTF">2026-05-28T06:48:58Z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9F46880046B241C0A93CC332908A1221_11</vt:lpwstr>
  </property>
  <property fmtid="{D5CDD505-2E9C-101B-9397-08002B2CF9AE}" pid="4" name="KSOTemplateDocerSaveRecord">
    <vt:lpwstr>eyJoZGlkIjoiYzY4ZGNiMDcwNDdmZGRiNTI4ZTkwNDkwMjIyNDUxMjEiLCJ1c2VySWQiOiI1MTE4MjU2MjcifQ==</vt:lpwstr>
  </property>
</Properties>
</file>